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1FC71" w14:textId="62E52800" w:rsidR="004F1888" w:rsidRPr="00FE2213" w:rsidRDefault="00850F6E" w:rsidP="00971649">
      <w:pPr>
        <w:jc w:val="center"/>
        <w:outlineLvl w:val="0"/>
        <w:rPr>
          <w:rFonts w:ascii="Garamond" w:hAnsi="Garamond" w:cs="Arial"/>
          <w:b/>
          <w:sz w:val="44"/>
          <w:szCs w:val="44"/>
        </w:rPr>
      </w:pPr>
      <w:r w:rsidRPr="00FE2213">
        <w:rPr>
          <w:rFonts w:ascii="Garamond" w:hAnsi="Garamond" w:cs="Arial"/>
          <w:b/>
          <w:sz w:val="44"/>
          <w:szCs w:val="44"/>
        </w:rPr>
        <w:t>Second</w:t>
      </w:r>
      <w:r w:rsidR="004F1888" w:rsidRPr="00FE2213">
        <w:rPr>
          <w:rFonts w:ascii="Garamond" w:hAnsi="Garamond" w:cs="Arial"/>
          <w:b/>
          <w:sz w:val="44"/>
          <w:szCs w:val="44"/>
        </w:rPr>
        <w:t xml:space="preserve"> Transpersonal Research Colloquium</w:t>
      </w:r>
    </w:p>
    <w:p w14:paraId="520E67FF" w14:textId="77777777" w:rsidR="00850F6E" w:rsidRPr="00FE2213" w:rsidRDefault="00850F6E" w:rsidP="00F87F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sz w:val="32"/>
          <w:szCs w:val="32"/>
        </w:rPr>
      </w:pPr>
      <w:r w:rsidRPr="00FE2213">
        <w:rPr>
          <w:rFonts w:ascii="Garamond" w:hAnsi="Garamond" w:cs="Arial"/>
          <w:b/>
          <w:sz w:val="32"/>
          <w:szCs w:val="32"/>
        </w:rPr>
        <w:t>Research Models and Methods for Transpersonal Research</w:t>
      </w:r>
    </w:p>
    <w:p w14:paraId="7A010201" w14:textId="6E3669A1" w:rsidR="004F1888" w:rsidRPr="00DB0210" w:rsidRDefault="00850F6E" w:rsidP="00651993">
      <w:pPr>
        <w:jc w:val="center"/>
        <w:rPr>
          <w:rFonts w:ascii="Garamond" w:hAnsi="Garamond" w:cs="Arial"/>
          <w:b/>
          <w:sz w:val="32"/>
          <w:szCs w:val="32"/>
        </w:rPr>
      </w:pPr>
      <w:r w:rsidRPr="00DB0210">
        <w:rPr>
          <w:rFonts w:ascii="Garamond" w:hAnsi="Garamond" w:cs="Arial"/>
          <w:b/>
          <w:sz w:val="32"/>
          <w:szCs w:val="32"/>
        </w:rPr>
        <w:t xml:space="preserve">Sept </w:t>
      </w:r>
      <w:r w:rsidR="00954254" w:rsidRPr="00DB0210">
        <w:rPr>
          <w:rFonts w:ascii="Garamond" w:hAnsi="Garamond" w:cs="Arial"/>
          <w:b/>
          <w:sz w:val="32"/>
          <w:szCs w:val="32"/>
        </w:rPr>
        <w:t>15-16, 2016</w:t>
      </w:r>
      <w:r w:rsidRPr="00DB0210">
        <w:rPr>
          <w:rFonts w:ascii="Garamond" w:hAnsi="Garamond" w:cs="Arial"/>
          <w:b/>
          <w:sz w:val="32"/>
          <w:szCs w:val="32"/>
        </w:rPr>
        <w:t xml:space="preserve">, </w:t>
      </w:r>
      <w:r w:rsidR="00C156C9" w:rsidRPr="00DB0210">
        <w:rPr>
          <w:rFonts w:ascii="Garamond" w:hAnsi="Garamond" w:cs="Arial"/>
          <w:b/>
          <w:sz w:val="32"/>
          <w:szCs w:val="32"/>
        </w:rPr>
        <w:t xml:space="preserve">London, </w:t>
      </w:r>
      <w:r w:rsidRPr="00DB0210">
        <w:rPr>
          <w:rFonts w:ascii="Garamond" w:hAnsi="Garamond" w:cs="Arial"/>
          <w:b/>
          <w:sz w:val="32"/>
          <w:szCs w:val="32"/>
        </w:rPr>
        <w:t>UK</w:t>
      </w:r>
    </w:p>
    <w:p w14:paraId="6AE5E001" w14:textId="77777777" w:rsidR="00850F6E" w:rsidRPr="00DB0210" w:rsidRDefault="004F1888" w:rsidP="004F1888">
      <w:pPr>
        <w:jc w:val="center"/>
        <w:rPr>
          <w:rFonts w:ascii="Garamond" w:hAnsi="Garamond" w:cs="Arial"/>
          <w:b/>
          <w:sz w:val="32"/>
          <w:szCs w:val="32"/>
        </w:rPr>
      </w:pPr>
      <w:r w:rsidRPr="00DB0210">
        <w:rPr>
          <w:rFonts w:ascii="Garamond" w:hAnsi="Garamond" w:cs="Arial"/>
          <w:b/>
          <w:sz w:val="32"/>
          <w:szCs w:val="32"/>
        </w:rPr>
        <w:t>CALL FOR PAPERS</w:t>
      </w:r>
      <w:r w:rsidR="00850F6E" w:rsidRPr="00DB0210">
        <w:rPr>
          <w:rFonts w:ascii="Garamond" w:hAnsi="Garamond" w:cs="Arial"/>
          <w:b/>
          <w:sz w:val="32"/>
          <w:szCs w:val="32"/>
        </w:rPr>
        <w:t xml:space="preserve"> </w:t>
      </w:r>
    </w:p>
    <w:p w14:paraId="134FC1D0" w14:textId="09001456" w:rsidR="00D35D01" w:rsidRDefault="004B7045" w:rsidP="0028339C">
      <w:pPr>
        <w:spacing w:after="12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The S</w:t>
      </w:r>
      <w:r w:rsidR="00850F6E" w:rsidRPr="00DB0210">
        <w:rPr>
          <w:rFonts w:ascii="Garamond" w:hAnsi="Garamond" w:cs="Arial"/>
          <w:sz w:val="24"/>
          <w:szCs w:val="24"/>
        </w:rPr>
        <w:t xml:space="preserve">econd </w:t>
      </w:r>
      <w:r w:rsidR="004F1888" w:rsidRPr="00DB0210">
        <w:rPr>
          <w:rFonts w:ascii="Garamond" w:hAnsi="Garamond" w:cs="Arial"/>
          <w:sz w:val="24"/>
          <w:szCs w:val="24"/>
        </w:rPr>
        <w:t>Transpersonal Research Colloquium</w:t>
      </w:r>
      <w:r>
        <w:rPr>
          <w:rFonts w:ascii="Garamond" w:hAnsi="Garamond" w:cs="Arial"/>
          <w:sz w:val="24"/>
          <w:szCs w:val="24"/>
        </w:rPr>
        <w:t>, TRC 2016,</w:t>
      </w:r>
      <w:r w:rsidR="000745C9" w:rsidRPr="00DB0210">
        <w:rPr>
          <w:rFonts w:ascii="Garamond" w:hAnsi="Garamond" w:cs="Arial"/>
          <w:sz w:val="24"/>
          <w:szCs w:val="24"/>
        </w:rPr>
        <w:t xml:space="preserve"> will be held</w:t>
      </w:r>
      <w:r w:rsidR="00850F6E" w:rsidRPr="00DB0210">
        <w:rPr>
          <w:rFonts w:ascii="Garamond" w:hAnsi="Garamond" w:cs="Arial"/>
          <w:sz w:val="24"/>
          <w:szCs w:val="24"/>
        </w:rPr>
        <w:t xml:space="preserve"> on September 15-16, 2016</w:t>
      </w:r>
      <w:r w:rsidR="004F1888" w:rsidRPr="00DB0210">
        <w:rPr>
          <w:rFonts w:ascii="Garamond" w:hAnsi="Garamond" w:cs="Arial"/>
          <w:sz w:val="24"/>
          <w:szCs w:val="24"/>
        </w:rPr>
        <w:t xml:space="preserve"> </w:t>
      </w:r>
      <w:r w:rsidR="000745C9" w:rsidRPr="00DB0210">
        <w:rPr>
          <w:rFonts w:ascii="Garamond" w:hAnsi="Garamond" w:cs="Arial"/>
          <w:sz w:val="24"/>
          <w:szCs w:val="24"/>
        </w:rPr>
        <w:t xml:space="preserve">in the </w:t>
      </w:r>
      <w:r w:rsidR="00850F6E" w:rsidRPr="00DB0210">
        <w:rPr>
          <w:rFonts w:ascii="Garamond" w:hAnsi="Garamond" w:cs="Arial"/>
          <w:sz w:val="24"/>
          <w:szCs w:val="24"/>
        </w:rPr>
        <w:t>U</w:t>
      </w:r>
      <w:r w:rsidR="00F87F56" w:rsidRPr="00DB0210">
        <w:rPr>
          <w:rFonts w:ascii="Garamond" w:hAnsi="Garamond" w:cs="Arial"/>
          <w:sz w:val="24"/>
          <w:szCs w:val="24"/>
        </w:rPr>
        <w:t>K</w:t>
      </w:r>
      <w:r w:rsidR="00F2201C" w:rsidRPr="00DB0210">
        <w:rPr>
          <w:rFonts w:ascii="Garamond" w:hAnsi="Garamond" w:cs="Arial"/>
          <w:sz w:val="24"/>
          <w:szCs w:val="24"/>
        </w:rPr>
        <w:t xml:space="preserve"> at </w:t>
      </w:r>
      <w:proofErr w:type="spellStart"/>
      <w:r w:rsidR="00E22C40">
        <w:rPr>
          <w:rFonts w:ascii="Garamond" w:hAnsi="Garamond" w:cs="Arial"/>
          <w:sz w:val="24"/>
          <w:szCs w:val="24"/>
        </w:rPr>
        <w:t>Highgate</w:t>
      </w:r>
      <w:proofErr w:type="spellEnd"/>
      <w:r w:rsidR="00E22C40">
        <w:rPr>
          <w:rFonts w:ascii="Garamond" w:hAnsi="Garamond" w:cs="Arial"/>
          <w:sz w:val="24"/>
          <w:szCs w:val="24"/>
        </w:rPr>
        <w:t xml:space="preserve"> House, an </w:t>
      </w:r>
      <w:r w:rsidR="006A46A5">
        <w:rPr>
          <w:rFonts w:ascii="Garamond" w:hAnsi="Garamond" w:cs="Arial"/>
          <w:sz w:val="24"/>
          <w:szCs w:val="24"/>
        </w:rPr>
        <w:t>English country house</w:t>
      </w:r>
      <w:r w:rsidR="00F2201C" w:rsidRPr="00DB0210">
        <w:rPr>
          <w:rFonts w:ascii="Garamond" w:hAnsi="Garamond" w:cs="Arial"/>
          <w:sz w:val="24"/>
          <w:szCs w:val="24"/>
        </w:rPr>
        <w:t xml:space="preserve"> in </w:t>
      </w:r>
      <w:proofErr w:type="spellStart"/>
      <w:r w:rsidR="00F2201C" w:rsidRPr="00DB0210">
        <w:rPr>
          <w:rFonts w:ascii="Garamond" w:hAnsi="Garamond" w:cs="Arial"/>
          <w:sz w:val="24"/>
          <w:szCs w:val="24"/>
        </w:rPr>
        <w:t>Northamptonsh</w:t>
      </w:r>
      <w:r w:rsidR="00D35D01">
        <w:rPr>
          <w:rFonts w:ascii="Garamond" w:hAnsi="Garamond" w:cs="Arial"/>
          <w:sz w:val="24"/>
          <w:szCs w:val="24"/>
        </w:rPr>
        <w:t>ire</w:t>
      </w:r>
      <w:proofErr w:type="spellEnd"/>
      <w:r w:rsidR="00D35D01">
        <w:rPr>
          <w:rFonts w:ascii="Garamond" w:hAnsi="Garamond" w:cs="Arial"/>
          <w:sz w:val="24"/>
          <w:szCs w:val="24"/>
        </w:rPr>
        <w:t xml:space="preserve">. The TRC immediately precedes </w:t>
      </w:r>
      <w:r w:rsidR="00F2201C" w:rsidRPr="00DB0210">
        <w:rPr>
          <w:rFonts w:ascii="Garamond" w:hAnsi="Garamond" w:cs="Arial"/>
          <w:sz w:val="24"/>
          <w:szCs w:val="24"/>
        </w:rPr>
        <w:t>the 20</w:t>
      </w:r>
      <w:r w:rsidR="00F2201C" w:rsidRPr="00DB0210">
        <w:rPr>
          <w:rFonts w:ascii="Garamond" w:hAnsi="Garamond" w:cs="Arial"/>
          <w:sz w:val="24"/>
          <w:szCs w:val="24"/>
          <w:vertAlign w:val="superscript"/>
        </w:rPr>
        <w:t>th</w:t>
      </w:r>
      <w:r w:rsidR="00F2201C" w:rsidRPr="00DB0210">
        <w:rPr>
          <w:rFonts w:ascii="Garamond" w:hAnsi="Garamond" w:cs="Arial"/>
          <w:sz w:val="24"/>
          <w:szCs w:val="24"/>
        </w:rPr>
        <w:t xml:space="preserve"> </w:t>
      </w:r>
      <w:r w:rsidR="00850F6E" w:rsidRPr="00DB0210">
        <w:rPr>
          <w:rFonts w:ascii="Garamond" w:hAnsi="Garamond" w:cs="Arial"/>
          <w:sz w:val="24"/>
          <w:szCs w:val="24"/>
        </w:rPr>
        <w:t>Annual Conference of the Transpersonal Psychology</w:t>
      </w:r>
      <w:r w:rsidR="00F2201C" w:rsidRPr="00DB0210">
        <w:rPr>
          <w:rFonts w:ascii="Garamond" w:hAnsi="Garamond" w:cs="Arial"/>
          <w:sz w:val="24"/>
          <w:szCs w:val="24"/>
        </w:rPr>
        <w:t xml:space="preserve"> Section of</w:t>
      </w:r>
      <w:r w:rsidR="00850F6E" w:rsidRPr="00DB0210">
        <w:rPr>
          <w:rFonts w:ascii="Garamond" w:hAnsi="Garamond" w:cs="Arial"/>
          <w:sz w:val="24"/>
          <w:szCs w:val="24"/>
        </w:rPr>
        <w:t xml:space="preserve"> the British Psychological Society (BPS)</w:t>
      </w:r>
      <w:r w:rsidR="00E77F15">
        <w:rPr>
          <w:rFonts w:ascii="Garamond" w:hAnsi="Garamond" w:cs="Arial"/>
          <w:sz w:val="24"/>
          <w:szCs w:val="24"/>
        </w:rPr>
        <w:t xml:space="preserve"> on </w:t>
      </w:r>
      <w:r w:rsidR="00970CB6" w:rsidRPr="00DB0210">
        <w:rPr>
          <w:rFonts w:ascii="Garamond" w:hAnsi="Garamond" w:cs="Arial"/>
          <w:sz w:val="24"/>
          <w:szCs w:val="24"/>
        </w:rPr>
        <w:t>September</w:t>
      </w:r>
      <w:r w:rsidR="00F67DDB">
        <w:rPr>
          <w:rFonts w:ascii="Garamond" w:hAnsi="Garamond" w:cs="Arial"/>
          <w:sz w:val="24"/>
          <w:szCs w:val="24"/>
        </w:rPr>
        <w:t xml:space="preserve"> 17-18, 2016</w:t>
      </w:r>
      <w:r w:rsidR="00E77F15">
        <w:rPr>
          <w:rFonts w:ascii="Garamond" w:hAnsi="Garamond" w:cs="Arial"/>
          <w:sz w:val="24"/>
          <w:szCs w:val="24"/>
        </w:rPr>
        <w:t xml:space="preserve"> at the same location</w:t>
      </w:r>
      <w:r w:rsidR="00D35D01">
        <w:rPr>
          <w:rFonts w:ascii="Garamond" w:hAnsi="Garamond" w:cs="Arial"/>
          <w:sz w:val="24"/>
          <w:szCs w:val="24"/>
        </w:rPr>
        <w:t xml:space="preserve">. A few days later, </w:t>
      </w:r>
      <w:r w:rsidR="002917F6" w:rsidRPr="00DB0210">
        <w:rPr>
          <w:rFonts w:ascii="Garamond" w:hAnsi="Garamond" w:cs="Arial"/>
          <w:sz w:val="24"/>
          <w:szCs w:val="24"/>
        </w:rPr>
        <w:t>on Sept</w:t>
      </w:r>
      <w:r w:rsidR="002917F6">
        <w:rPr>
          <w:rFonts w:ascii="Garamond" w:hAnsi="Garamond" w:cs="Arial"/>
          <w:sz w:val="24"/>
          <w:szCs w:val="24"/>
        </w:rPr>
        <w:t xml:space="preserve">ember 21-25, </w:t>
      </w:r>
      <w:r w:rsidR="00D35D01">
        <w:rPr>
          <w:rFonts w:ascii="Garamond" w:hAnsi="Garamond" w:cs="Arial"/>
          <w:sz w:val="24"/>
          <w:szCs w:val="24"/>
        </w:rPr>
        <w:t>t</w:t>
      </w:r>
      <w:r w:rsidR="00970CB6" w:rsidRPr="00DB0210">
        <w:rPr>
          <w:rFonts w:ascii="Garamond" w:hAnsi="Garamond" w:cs="Arial"/>
          <w:sz w:val="24"/>
          <w:szCs w:val="24"/>
        </w:rPr>
        <w:t xml:space="preserve">he </w:t>
      </w:r>
      <w:bookmarkStart w:id="0" w:name="OLE_LINK17"/>
      <w:bookmarkStart w:id="1" w:name="OLE_LINK18"/>
      <w:r w:rsidR="00850F6E" w:rsidRPr="00DB0210">
        <w:rPr>
          <w:rFonts w:ascii="Garamond" w:hAnsi="Garamond" w:cs="Arial"/>
          <w:sz w:val="24"/>
          <w:szCs w:val="24"/>
        </w:rPr>
        <w:t xml:space="preserve">2016 EUROTAS Conference </w:t>
      </w:r>
      <w:r w:rsidR="002917F6">
        <w:rPr>
          <w:rFonts w:ascii="Garamond" w:hAnsi="Garamond" w:cs="Arial"/>
          <w:sz w:val="24"/>
          <w:szCs w:val="24"/>
        </w:rPr>
        <w:t>(</w:t>
      </w:r>
      <w:hyperlink r:id="rId6" w:history="1">
        <w:r w:rsidR="002917F6" w:rsidRPr="00A4368C">
          <w:rPr>
            <w:rStyle w:val="Hyperlink"/>
            <w:rFonts w:ascii="Garamond" w:hAnsi="Garamond" w:cs="Arial"/>
            <w:sz w:val="24"/>
            <w:szCs w:val="24"/>
          </w:rPr>
          <w:t>http://www.eurotas2016.com/</w:t>
        </w:r>
      </w:hyperlink>
      <w:r w:rsidR="002917F6">
        <w:rPr>
          <w:rFonts w:ascii="Garamond" w:hAnsi="Garamond" w:cs="Arial"/>
          <w:sz w:val="24"/>
          <w:szCs w:val="24"/>
        </w:rPr>
        <w:t xml:space="preserve">) </w:t>
      </w:r>
      <w:r w:rsidR="00970CB6" w:rsidRPr="00DB0210">
        <w:rPr>
          <w:rFonts w:ascii="Garamond" w:hAnsi="Garamond" w:cs="Arial"/>
          <w:sz w:val="24"/>
          <w:szCs w:val="24"/>
        </w:rPr>
        <w:t>takes place in</w:t>
      </w:r>
      <w:r w:rsidR="00850F6E" w:rsidRPr="00DB0210">
        <w:rPr>
          <w:rFonts w:ascii="Garamond" w:hAnsi="Garamond" w:cs="Arial"/>
          <w:sz w:val="24"/>
          <w:szCs w:val="24"/>
        </w:rPr>
        <w:t xml:space="preserve"> Romania</w:t>
      </w:r>
      <w:bookmarkEnd w:id="0"/>
      <w:bookmarkEnd w:id="1"/>
      <w:r w:rsidR="002917F6">
        <w:rPr>
          <w:rFonts w:ascii="Garamond" w:hAnsi="Garamond" w:cs="Arial"/>
          <w:sz w:val="24"/>
          <w:szCs w:val="24"/>
        </w:rPr>
        <w:t>.</w:t>
      </w:r>
    </w:p>
    <w:p w14:paraId="2DE03C9B" w14:textId="61BC99CE" w:rsidR="006353A8" w:rsidRDefault="00E52F36" w:rsidP="00D35D01">
      <w:pPr>
        <w:spacing w:after="12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The mission of each annual</w:t>
      </w:r>
      <w:r w:rsidR="0028339C">
        <w:rPr>
          <w:rFonts w:ascii="Garamond" w:hAnsi="Garamond" w:cs="Arial"/>
          <w:sz w:val="24"/>
          <w:szCs w:val="24"/>
        </w:rPr>
        <w:t xml:space="preserve"> Transpersonal Research Colloquium is to engage researchers worldwide </w:t>
      </w:r>
      <w:r w:rsidR="0028339C" w:rsidRPr="00DB0210">
        <w:rPr>
          <w:rFonts w:ascii="Garamond" w:hAnsi="Garamond" w:cs="Arial"/>
          <w:sz w:val="24"/>
          <w:szCs w:val="24"/>
        </w:rPr>
        <w:t>in dialogue and training related to research m</w:t>
      </w:r>
      <w:r w:rsidR="008B0908">
        <w:rPr>
          <w:rFonts w:ascii="Garamond" w:hAnsi="Garamond" w:cs="Arial"/>
          <w:sz w:val="24"/>
          <w:szCs w:val="24"/>
        </w:rPr>
        <w:t xml:space="preserve">ethods and procedures that further </w:t>
      </w:r>
      <w:r w:rsidR="0028339C" w:rsidRPr="00DB0210">
        <w:rPr>
          <w:rFonts w:ascii="Garamond" w:hAnsi="Garamond" w:cs="Arial"/>
          <w:sz w:val="24"/>
          <w:szCs w:val="24"/>
        </w:rPr>
        <w:t>the study of transpersonal, spiritual, and related topics.</w:t>
      </w:r>
      <w:r w:rsidR="0028339C">
        <w:rPr>
          <w:rFonts w:ascii="Garamond" w:hAnsi="Garamond" w:cs="Arial"/>
          <w:sz w:val="24"/>
          <w:szCs w:val="24"/>
        </w:rPr>
        <w:t xml:space="preserve"> </w:t>
      </w:r>
      <w:r w:rsidR="00D27852">
        <w:rPr>
          <w:rFonts w:ascii="Garamond" w:hAnsi="Garamond" w:cs="Arial"/>
          <w:sz w:val="24"/>
          <w:szCs w:val="24"/>
        </w:rPr>
        <w:t>The theme for TRC 2016 is</w:t>
      </w:r>
      <w:r w:rsidR="0028339C" w:rsidRPr="00DB0210">
        <w:rPr>
          <w:rFonts w:ascii="Garamond" w:hAnsi="Garamond" w:cs="Arial"/>
          <w:sz w:val="24"/>
          <w:szCs w:val="24"/>
        </w:rPr>
        <w:t xml:space="preserve"> </w:t>
      </w:r>
      <w:r w:rsidR="0028339C" w:rsidRPr="00DB0210">
        <w:rPr>
          <w:rFonts w:ascii="Garamond" w:hAnsi="Garamond" w:cs="Arial"/>
          <w:i/>
          <w:sz w:val="24"/>
          <w:szCs w:val="24"/>
        </w:rPr>
        <w:t>Research Models and Methods for Transpersonal R</w:t>
      </w:r>
      <w:r w:rsidR="006353A8">
        <w:rPr>
          <w:rFonts w:ascii="Garamond" w:hAnsi="Garamond" w:cs="Arial"/>
          <w:i/>
          <w:sz w:val="24"/>
          <w:szCs w:val="24"/>
        </w:rPr>
        <w:t xml:space="preserve">esearch. </w:t>
      </w:r>
      <w:r w:rsidR="006353A8">
        <w:rPr>
          <w:rFonts w:ascii="Garamond" w:hAnsi="Garamond" w:cs="Arial"/>
          <w:sz w:val="24"/>
          <w:szCs w:val="24"/>
        </w:rPr>
        <w:t>TRC</w:t>
      </w:r>
      <w:r w:rsidR="00EE4B0E">
        <w:rPr>
          <w:rFonts w:ascii="Garamond" w:hAnsi="Garamond" w:cs="Arial"/>
          <w:sz w:val="24"/>
          <w:szCs w:val="24"/>
        </w:rPr>
        <w:t xml:space="preserve"> 2016</w:t>
      </w:r>
      <w:r w:rsidR="006353A8">
        <w:rPr>
          <w:rFonts w:ascii="Garamond" w:hAnsi="Garamond" w:cs="Arial"/>
          <w:sz w:val="24"/>
          <w:szCs w:val="24"/>
        </w:rPr>
        <w:t xml:space="preserve"> will be </w:t>
      </w:r>
      <w:r w:rsidR="00D35D01" w:rsidRPr="00DB0210">
        <w:rPr>
          <w:rFonts w:ascii="Garamond" w:hAnsi="Garamond" w:cs="Arial"/>
          <w:sz w:val="24"/>
          <w:szCs w:val="24"/>
        </w:rPr>
        <w:t>co-sponsored by the EUROTAS Division of Transpersonal Research, Integr</w:t>
      </w:r>
      <w:r w:rsidR="006353A8">
        <w:rPr>
          <w:rFonts w:ascii="Garamond" w:hAnsi="Garamond" w:cs="Arial"/>
          <w:sz w:val="24"/>
          <w:szCs w:val="24"/>
        </w:rPr>
        <w:t xml:space="preserve">al Transpersonal Institute, </w:t>
      </w:r>
      <w:r w:rsidR="00D35D01" w:rsidRPr="00DB0210">
        <w:rPr>
          <w:rFonts w:ascii="Garamond" w:hAnsi="Garamond" w:cs="Arial"/>
          <w:sz w:val="24"/>
          <w:szCs w:val="24"/>
        </w:rPr>
        <w:t>Transpersonal Consultancy</w:t>
      </w:r>
      <w:r w:rsidR="006353A8">
        <w:rPr>
          <w:rFonts w:ascii="Garamond" w:hAnsi="Garamond" w:cs="Arial"/>
          <w:sz w:val="24"/>
          <w:szCs w:val="24"/>
        </w:rPr>
        <w:t xml:space="preserve">, and the </w:t>
      </w:r>
      <w:r w:rsidR="006353A8" w:rsidRPr="00DB0210">
        <w:rPr>
          <w:rFonts w:ascii="Garamond" w:hAnsi="Garamond" w:cs="Arial"/>
          <w:sz w:val="24"/>
          <w:szCs w:val="24"/>
        </w:rPr>
        <w:t>B</w:t>
      </w:r>
      <w:r w:rsidR="006353A8">
        <w:rPr>
          <w:rFonts w:ascii="Garamond" w:hAnsi="Garamond" w:cs="Arial"/>
          <w:sz w:val="24"/>
          <w:szCs w:val="24"/>
        </w:rPr>
        <w:t xml:space="preserve">ritish </w:t>
      </w:r>
      <w:r w:rsidR="006353A8" w:rsidRPr="00DB0210">
        <w:rPr>
          <w:rFonts w:ascii="Garamond" w:hAnsi="Garamond" w:cs="Arial"/>
          <w:sz w:val="24"/>
          <w:szCs w:val="24"/>
        </w:rPr>
        <w:t>P</w:t>
      </w:r>
      <w:r w:rsidR="006353A8">
        <w:rPr>
          <w:rFonts w:ascii="Garamond" w:hAnsi="Garamond" w:cs="Arial"/>
          <w:sz w:val="24"/>
          <w:szCs w:val="24"/>
        </w:rPr>
        <w:t xml:space="preserve">sychological </w:t>
      </w:r>
      <w:r w:rsidR="006353A8" w:rsidRPr="00DB0210">
        <w:rPr>
          <w:rFonts w:ascii="Garamond" w:hAnsi="Garamond" w:cs="Arial"/>
          <w:sz w:val="24"/>
          <w:szCs w:val="24"/>
        </w:rPr>
        <w:t>S</w:t>
      </w:r>
      <w:r w:rsidR="006353A8">
        <w:rPr>
          <w:rFonts w:ascii="Garamond" w:hAnsi="Garamond" w:cs="Arial"/>
          <w:sz w:val="24"/>
          <w:szCs w:val="24"/>
        </w:rPr>
        <w:t>ociety</w:t>
      </w:r>
      <w:r w:rsidR="006353A8" w:rsidRPr="00DB0210">
        <w:rPr>
          <w:rFonts w:ascii="Garamond" w:hAnsi="Garamond" w:cs="Arial"/>
          <w:sz w:val="24"/>
          <w:szCs w:val="24"/>
        </w:rPr>
        <w:t xml:space="preserve"> </w:t>
      </w:r>
      <w:r w:rsidR="006353A8">
        <w:rPr>
          <w:rFonts w:ascii="Garamond" w:hAnsi="Garamond" w:cs="Arial"/>
          <w:sz w:val="24"/>
          <w:szCs w:val="24"/>
        </w:rPr>
        <w:t xml:space="preserve">Transpersonal </w:t>
      </w:r>
      <w:r w:rsidR="006F7E83">
        <w:rPr>
          <w:rFonts w:ascii="Garamond" w:hAnsi="Garamond" w:cs="Arial"/>
          <w:sz w:val="24"/>
          <w:szCs w:val="24"/>
        </w:rPr>
        <w:t xml:space="preserve">Psychology </w:t>
      </w:r>
      <w:r w:rsidR="006353A8" w:rsidRPr="00DB0210">
        <w:rPr>
          <w:rFonts w:ascii="Garamond" w:hAnsi="Garamond" w:cs="Arial"/>
          <w:sz w:val="24"/>
          <w:szCs w:val="24"/>
        </w:rPr>
        <w:t>Section</w:t>
      </w:r>
      <w:r w:rsidR="00D35D01" w:rsidRPr="00DB0210">
        <w:rPr>
          <w:rFonts w:ascii="Garamond" w:hAnsi="Garamond" w:cs="Arial"/>
          <w:sz w:val="24"/>
          <w:szCs w:val="24"/>
        </w:rPr>
        <w:t xml:space="preserve">. </w:t>
      </w:r>
    </w:p>
    <w:p w14:paraId="0AB8E222" w14:textId="6CE67D7E" w:rsidR="00D35D01" w:rsidRPr="006353A8" w:rsidRDefault="00D35D01" w:rsidP="00D35D01">
      <w:pPr>
        <w:spacing w:after="120"/>
        <w:rPr>
          <w:rFonts w:ascii="Garamond" w:hAnsi="Garamond" w:cs="Arial"/>
          <w:i/>
          <w:sz w:val="24"/>
          <w:szCs w:val="24"/>
        </w:rPr>
      </w:pPr>
      <w:r w:rsidRPr="00DB0210">
        <w:rPr>
          <w:rFonts w:ascii="Garamond" w:hAnsi="Garamond" w:cs="Arial"/>
          <w:sz w:val="24"/>
          <w:szCs w:val="24"/>
        </w:rPr>
        <w:t>Ba</w:t>
      </w:r>
      <w:r w:rsidR="008A697A">
        <w:rPr>
          <w:rFonts w:ascii="Garamond" w:hAnsi="Garamond" w:cs="Arial"/>
          <w:sz w:val="24"/>
          <w:szCs w:val="24"/>
        </w:rPr>
        <w:t xml:space="preserve">sed on the success of TRC 2015 in Milan, Italy, </w:t>
      </w:r>
      <w:r w:rsidRPr="00DB0210">
        <w:rPr>
          <w:rFonts w:ascii="Garamond" w:hAnsi="Garamond" w:cs="Arial"/>
          <w:sz w:val="24"/>
          <w:szCs w:val="24"/>
        </w:rPr>
        <w:t>the Trans</w:t>
      </w:r>
      <w:r w:rsidR="006F7E83">
        <w:rPr>
          <w:rFonts w:ascii="Garamond" w:hAnsi="Garamond" w:cs="Arial"/>
          <w:sz w:val="24"/>
          <w:szCs w:val="24"/>
        </w:rPr>
        <w:t>personal Research Network (TRN)</w:t>
      </w:r>
      <w:proofErr w:type="gramStart"/>
      <w:r w:rsidR="006F7E83">
        <w:rPr>
          <w:rFonts w:ascii="Garamond" w:hAnsi="Garamond" w:cs="Arial"/>
          <w:sz w:val="24"/>
          <w:szCs w:val="24"/>
        </w:rPr>
        <w:t xml:space="preserve">, </w:t>
      </w:r>
      <w:r w:rsidR="001B7FFC">
        <w:rPr>
          <w:rFonts w:ascii="Garamond" w:hAnsi="Garamond" w:cs="Arial"/>
          <w:sz w:val="24"/>
          <w:szCs w:val="24"/>
        </w:rPr>
        <w:t xml:space="preserve"> </w:t>
      </w:r>
      <w:proofErr w:type="gramEnd"/>
      <w:r w:rsidR="00343095">
        <w:fldChar w:fldCharType="begin"/>
      </w:r>
      <w:r w:rsidR="00343095">
        <w:instrText xml:space="preserve"> HYPERLINK "http://www.transpersonalresearchnetwork.com" </w:instrText>
      </w:r>
      <w:r w:rsidR="00343095">
        <w:fldChar w:fldCharType="separate"/>
      </w:r>
      <w:r w:rsidR="001B7FFC" w:rsidRPr="004B4E07">
        <w:rPr>
          <w:rStyle w:val="Hyperlink"/>
          <w:rFonts w:ascii="Garamond" w:hAnsi="Garamond" w:cs="Arial"/>
          <w:sz w:val="24"/>
          <w:szCs w:val="24"/>
        </w:rPr>
        <w:t>www.transpersonalresearchnetwork.com</w:t>
      </w:r>
      <w:r w:rsidR="00343095">
        <w:rPr>
          <w:rStyle w:val="Hyperlink"/>
          <w:rFonts w:ascii="Garamond" w:hAnsi="Garamond" w:cs="Arial"/>
          <w:sz w:val="24"/>
          <w:szCs w:val="24"/>
        </w:rPr>
        <w:fldChar w:fldCharType="end"/>
      </w:r>
      <w:r w:rsidR="001B7FFC">
        <w:rPr>
          <w:rFonts w:ascii="Garamond" w:hAnsi="Garamond" w:cs="Arial"/>
          <w:sz w:val="24"/>
          <w:szCs w:val="24"/>
        </w:rPr>
        <w:t xml:space="preserve">, </w:t>
      </w:r>
      <w:r w:rsidRPr="00DB0210">
        <w:rPr>
          <w:rFonts w:ascii="Garamond" w:hAnsi="Garamond" w:cs="Arial"/>
          <w:sz w:val="24"/>
          <w:szCs w:val="24"/>
        </w:rPr>
        <w:t xml:space="preserve">was founded by the four primary </w:t>
      </w:r>
      <w:r w:rsidR="006353A8">
        <w:rPr>
          <w:rFonts w:ascii="Garamond" w:hAnsi="Garamond" w:cs="Arial"/>
          <w:sz w:val="24"/>
          <w:szCs w:val="24"/>
        </w:rPr>
        <w:t>organiz</w:t>
      </w:r>
      <w:r w:rsidRPr="00DB0210">
        <w:rPr>
          <w:rFonts w:ascii="Garamond" w:hAnsi="Garamond" w:cs="Arial"/>
          <w:sz w:val="24"/>
          <w:szCs w:val="24"/>
        </w:rPr>
        <w:t xml:space="preserve">ers: </w:t>
      </w:r>
      <w:r w:rsidRPr="00DB0210">
        <w:rPr>
          <w:rFonts w:ascii="Garamond" w:eastAsia="Times New Roman" w:hAnsi="Garamond" w:cs="Arial"/>
          <w:bCs/>
          <w:sz w:val="24"/>
          <w:szCs w:val="24"/>
        </w:rPr>
        <w:t>Rosemarie Anderson of Tran</w:t>
      </w:r>
      <w:r w:rsidRPr="00DB0210">
        <w:rPr>
          <w:rFonts w:ascii="Garamond" w:hAnsi="Garamond" w:cs="Arial"/>
          <w:sz w:val="24"/>
          <w:szCs w:val="24"/>
        </w:rPr>
        <w:t>spersonal Consultancy (</w:t>
      </w:r>
      <w:hyperlink r:id="rId7" w:history="1">
        <w:r w:rsidRPr="00DB0210">
          <w:rPr>
            <w:rStyle w:val="Hyperlink"/>
            <w:rFonts w:ascii="Garamond" w:hAnsi="Garamond" w:cs="Arial"/>
            <w:sz w:val="24"/>
            <w:szCs w:val="24"/>
          </w:rPr>
          <w:t>www.transpersonalconsultancy.com</w:t>
        </w:r>
      </w:hyperlink>
      <w:r w:rsidRPr="00DB0210">
        <w:rPr>
          <w:rFonts w:ascii="Garamond" w:hAnsi="Garamond" w:cs="Arial"/>
          <w:sz w:val="24"/>
          <w:szCs w:val="24"/>
        </w:rPr>
        <w:t>) and Professor Emerita at Sofia University,  Giovanna Calabrese and Regina U. Hess representing the EUROTAS Division of Transpersonal Research (</w:t>
      </w:r>
      <w:hyperlink r:id="rId8" w:history="1">
        <w:r w:rsidRPr="00DB0210">
          <w:rPr>
            <w:rStyle w:val="Hyperlink"/>
            <w:rFonts w:ascii="Garamond" w:hAnsi="Garamond" w:cs="Arial"/>
            <w:sz w:val="24"/>
            <w:szCs w:val="24"/>
          </w:rPr>
          <w:t>http://eurotas.org/division-of-transpersonal-research-edtr/</w:t>
        </w:r>
      </w:hyperlink>
      <w:r>
        <w:rPr>
          <w:rFonts w:ascii="Garamond" w:hAnsi="Garamond" w:cs="Arial"/>
          <w:sz w:val="24"/>
          <w:szCs w:val="24"/>
        </w:rPr>
        <w:t xml:space="preserve">), and </w:t>
      </w:r>
      <w:r w:rsidRPr="00DB0210">
        <w:rPr>
          <w:rFonts w:ascii="Garamond" w:hAnsi="Garamond" w:cs="Arial"/>
          <w:sz w:val="24"/>
          <w:szCs w:val="24"/>
        </w:rPr>
        <w:t xml:space="preserve">Pier Luigi </w:t>
      </w:r>
      <w:proofErr w:type="spellStart"/>
      <w:r w:rsidRPr="00DB0210">
        <w:rPr>
          <w:rFonts w:ascii="Garamond" w:hAnsi="Garamond" w:cs="Arial"/>
          <w:sz w:val="24"/>
          <w:szCs w:val="24"/>
        </w:rPr>
        <w:t>Lattuada</w:t>
      </w:r>
      <w:proofErr w:type="spellEnd"/>
      <w:r w:rsidRPr="00DB0210">
        <w:rPr>
          <w:rFonts w:ascii="Garamond" w:hAnsi="Garamond" w:cs="Arial"/>
          <w:sz w:val="24"/>
          <w:szCs w:val="24"/>
        </w:rPr>
        <w:t xml:space="preserve"> of the Integral Transpersonal Institute (</w:t>
      </w:r>
      <w:hyperlink r:id="rId9" w:history="1">
        <w:r w:rsidRPr="00DB0210">
          <w:rPr>
            <w:rStyle w:val="Hyperlink"/>
            <w:rFonts w:ascii="Garamond" w:eastAsia="Times New Roman" w:hAnsi="Garamond" w:cs="Arial"/>
            <w:bCs/>
            <w:sz w:val="24"/>
            <w:szCs w:val="24"/>
          </w:rPr>
          <w:t>www.integraltranspersonal.com</w:t>
        </w:r>
      </w:hyperlink>
      <w:r w:rsidRPr="00DB0210">
        <w:rPr>
          <w:rFonts w:ascii="Garamond" w:eastAsia="Times New Roman" w:hAnsi="Garamond" w:cs="Arial"/>
          <w:bCs/>
          <w:sz w:val="24"/>
          <w:szCs w:val="24"/>
        </w:rPr>
        <w:t>)</w:t>
      </w:r>
      <w:r w:rsidR="001B7FFC">
        <w:rPr>
          <w:rFonts w:ascii="Garamond" w:eastAsia="Times New Roman" w:hAnsi="Garamond" w:cs="Arial"/>
          <w:bCs/>
          <w:sz w:val="24"/>
          <w:szCs w:val="24"/>
        </w:rPr>
        <w:t xml:space="preserve">. </w:t>
      </w:r>
      <w:proofErr w:type="gramStart"/>
      <w:r w:rsidR="001B7FFC">
        <w:rPr>
          <w:rFonts w:ascii="Garamond" w:eastAsia="Times New Roman" w:hAnsi="Garamond" w:cs="Arial"/>
          <w:bCs/>
          <w:sz w:val="24"/>
          <w:szCs w:val="24"/>
        </w:rPr>
        <w:t>They</w:t>
      </w:r>
      <w:r>
        <w:rPr>
          <w:rFonts w:ascii="Garamond" w:eastAsia="Times New Roman" w:hAnsi="Garamond" w:cs="Arial"/>
          <w:bCs/>
          <w:sz w:val="24"/>
          <w:szCs w:val="24"/>
        </w:rPr>
        <w:t xml:space="preserve"> are</w:t>
      </w:r>
      <w:r w:rsidR="00B61A5E">
        <w:rPr>
          <w:rFonts w:ascii="Garamond" w:eastAsia="Times New Roman" w:hAnsi="Garamond" w:cs="Arial"/>
          <w:bCs/>
          <w:sz w:val="24"/>
          <w:szCs w:val="24"/>
        </w:rPr>
        <w:t xml:space="preserve"> joined this year in organizing </w:t>
      </w:r>
      <w:r>
        <w:rPr>
          <w:rFonts w:ascii="Garamond" w:eastAsia="Times New Roman" w:hAnsi="Garamond" w:cs="Arial"/>
          <w:bCs/>
          <w:sz w:val="24"/>
          <w:szCs w:val="24"/>
        </w:rPr>
        <w:t xml:space="preserve">and hosting TRC 2016 by Les Lancaster, </w:t>
      </w:r>
      <w:r w:rsidRPr="00DB0210">
        <w:rPr>
          <w:rFonts w:ascii="Garamond" w:hAnsi="Garamond" w:cs="Arial"/>
          <w:sz w:val="24"/>
          <w:szCs w:val="24"/>
        </w:rPr>
        <w:t xml:space="preserve">Professor Emeritus of Transpersonal Psychology at Liverpool John </w:t>
      </w:r>
      <w:proofErr w:type="spellStart"/>
      <w:r w:rsidRPr="00DB0210">
        <w:rPr>
          <w:rFonts w:ascii="Garamond" w:hAnsi="Garamond" w:cs="Arial"/>
          <w:sz w:val="24"/>
          <w:szCs w:val="24"/>
        </w:rPr>
        <w:t>Moores</w:t>
      </w:r>
      <w:proofErr w:type="spellEnd"/>
      <w:r w:rsidRPr="00DB0210">
        <w:rPr>
          <w:rFonts w:ascii="Garamond" w:hAnsi="Garamond" w:cs="Arial"/>
          <w:sz w:val="24"/>
          <w:szCs w:val="24"/>
        </w:rPr>
        <w:t xml:space="preserve"> University, UK</w:t>
      </w:r>
      <w:r>
        <w:rPr>
          <w:rFonts w:ascii="Garamond" w:hAnsi="Garamond" w:cs="Arial"/>
          <w:sz w:val="24"/>
          <w:szCs w:val="24"/>
        </w:rPr>
        <w:t>, representing</w:t>
      </w:r>
      <w:r w:rsidRPr="00DB0210">
        <w:rPr>
          <w:rFonts w:ascii="Garamond" w:hAnsi="Garamond" w:cs="Arial"/>
          <w:sz w:val="24"/>
          <w:szCs w:val="24"/>
        </w:rPr>
        <w:t xml:space="preserve"> the B</w:t>
      </w:r>
      <w:r>
        <w:rPr>
          <w:rFonts w:ascii="Garamond" w:hAnsi="Garamond" w:cs="Arial"/>
          <w:sz w:val="24"/>
          <w:szCs w:val="24"/>
        </w:rPr>
        <w:t xml:space="preserve">ritish </w:t>
      </w:r>
      <w:r w:rsidRPr="00DB0210">
        <w:rPr>
          <w:rFonts w:ascii="Garamond" w:hAnsi="Garamond" w:cs="Arial"/>
          <w:sz w:val="24"/>
          <w:szCs w:val="24"/>
        </w:rPr>
        <w:t>P</w:t>
      </w:r>
      <w:r>
        <w:rPr>
          <w:rFonts w:ascii="Garamond" w:hAnsi="Garamond" w:cs="Arial"/>
          <w:sz w:val="24"/>
          <w:szCs w:val="24"/>
        </w:rPr>
        <w:t xml:space="preserve">sychological </w:t>
      </w:r>
      <w:r w:rsidRPr="00DB0210">
        <w:rPr>
          <w:rFonts w:ascii="Garamond" w:hAnsi="Garamond" w:cs="Arial"/>
          <w:sz w:val="24"/>
          <w:szCs w:val="24"/>
        </w:rPr>
        <w:t>S</w:t>
      </w:r>
      <w:r>
        <w:rPr>
          <w:rFonts w:ascii="Garamond" w:hAnsi="Garamond" w:cs="Arial"/>
          <w:sz w:val="24"/>
          <w:szCs w:val="24"/>
        </w:rPr>
        <w:t>ociety</w:t>
      </w:r>
      <w:r w:rsidRPr="00DB0210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Transpersonal </w:t>
      </w:r>
      <w:r w:rsidRPr="00DB0210">
        <w:rPr>
          <w:rFonts w:ascii="Garamond" w:hAnsi="Garamond" w:cs="Arial"/>
          <w:sz w:val="24"/>
          <w:szCs w:val="24"/>
        </w:rPr>
        <w:t>Section</w:t>
      </w:r>
      <w:proofErr w:type="gramEnd"/>
      <w:r w:rsidRPr="00DB0210">
        <w:rPr>
          <w:rFonts w:ascii="Garamond" w:hAnsi="Garamond" w:cs="Arial"/>
          <w:sz w:val="24"/>
          <w:szCs w:val="24"/>
        </w:rPr>
        <w:t xml:space="preserve"> (</w:t>
      </w:r>
      <w:hyperlink r:id="rId10" w:history="1">
        <w:r w:rsidRPr="00DB0210">
          <w:rPr>
            <w:rStyle w:val="Hyperlink"/>
            <w:rFonts w:ascii="Garamond" w:hAnsi="Garamond" w:cs="Arial"/>
            <w:sz w:val="24"/>
            <w:szCs w:val="24"/>
          </w:rPr>
          <w:t>http://www.bps.org.uk/networks-and-communities/member-microsite/transpersonal-psychology-section</w:t>
        </w:r>
      </w:hyperlink>
      <w:r w:rsidRPr="00DB0210">
        <w:rPr>
          <w:rFonts w:ascii="Garamond" w:hAnsi="Garamond" w:cs="Arial"/>
          <w:sz w:val="24"/>
          <w:szCs w:val="24"/>
        </w:rPr>
        <w:t xml:space="preserve">). </w:t>
      </w:r>
    </w:p>
    <w:p w14:paraId="67A91969" w14:textId="253B279C" w:rsidR="00F87F56" w:rsidRPr="00DF5913" w:rsidRDefault="00535FDB" w:rsidP="008352B1">
      <w:pPr>
        <w:spacing w:after="120"/>
        <w:rPr>
          <w:rFonts w:ascii="Garamond" w:hAnsi="Garamond" w:cs="Arial"/>
          <w:color w:val="FF0000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T</w:t>
      </w:r>
      <w:r w:rsidR="004F1888" w:rsidRPr="00DB0210">
        <w:rPr>
          <w:rFonts w:ascii="Garamond" w:hAnsi="Garamond" w:cs="Arial"/>
          <w:sz w:val="24"/>
          <w:szCs w:val="24"/>
        </w:rPr>
        <w:t xml:space="preserve">he </w:t>
      </w:r>
      <w:r w:rsidR="00850F6E" w:rsidRPr="00DB0210">
        <w:rPr>
          <w:rFonts w:ascii="Garamond" w:hAnsi="Garamond" w:cs="Arial"/>
          <w:sz w:val="24"/>
          <w:szCs w:val="24"/>
        </w:rPr>
        <w:t>presentati</w:t>
      </w:r>
      <w:r w:rsidR="00944704">
        <w:rPr>
          <w:rFonts w:ascii="Garamond" w:hAnsi="Garamond" w:cs="Arial"/>
          <w:sz w:val="24"/>
          <w:szCs w:val="24"/>
        </w:rPr>
        <w:t>on format will be collaborative and egalitarian</w:t>
      </w:r>
      <w:r w:rsidR="00850F6E" w:rsidRPr="00DB0210">
        <w:rPr>
          <w:rFonts w:ascii="Garamond" w:hAnsi="Garamond" w:cs="Arial"/>
          <w:sz w:val="24"/>
          <w:szCs w:val="24"/>
        </w:rPr>
        <w:t xml:space="preserve"> giving each participan</w:t>
      </w:r>
      <w:r w:rsidR="00901D78">
        <w:rPr>
          <w:rFonts w:ascii="Garamond" w:hAnsi="Garamond" w:cs="Arial"/>
          <w:sz w:val="24"/>
          <w:szCs w:val="24"/>
        </w:rPr>
        <w:t>t equal time to speak. Ample</w:t>
      </w:r>
      <w:r w:rsidR="00850F6E" w:rsidRPr="00DB0210">
        <w:rPr>
          <w:rFonts w:ascii="Garamond" w:hAnsi="Garamond" w:cs="Arial"/>
          <w:sz w:val="24"/>
          <w:szCs w:val="24"/>
        </w:rPr>
        <w:t xml:space="preserve"> t</w:t>
      </w:r>
      <w:r w:rsidR="004F1888" w:rsidRPr="00DB0210">
        <w:rPr>
          <w:rFonts w:ascii="Garamond" w:hAnsi="Garamond" w:cs="Arial"/>
          <w:sz w:val="24"/>
          <w:szCs w:val="24"/>
        </w:rPr>
        <w:t xml:space="preserve">ime will be provided for </w:t>
      </w:r>
      <w:r w:rsidR="00850F6E" w:rsidRPr="00DB0210">
        <w:rPr>
          <w:rFonts w:ascii="Garamond" w:hAnsi="Garamond" w:cs="Arial"/>
          <w:sz w:val="24"/>
          <w:szCs w:val="24"/>
        </w:rPr>
        <w:t xml:space="preserve">discussions and </w:t>
      </w:r>
      <w:r w:rsidR="004F1888" w:rsidRPr="00DB0210">
        <w:rPr>
          <w:rFonts w:ascii="Garamond" w:hAnsi="Garamond" w:cs="Arial"/>
          <w:sz w:val="24"/>
          <w:szCs w:val="24"/>
        </w:rPr>
        <w:t xml:space="preserve">networking with other participants </w:t>
      </w:r>
      <w:r w:rsidR="00901D78">
        <w:rPr>
          <w:rFonts w:ascii="Garamond" w:hAnsi="Garamond" w:cs="Arial"/>
          <w:sz w:val="24"/>
          <w:szCs w:val="24"/>
        </w:rPr>
        <w:t>and for initiating</w:t>
      </w:r>
      <w:r w:rsidR="004F1888" w:rsidRPr="00DB0210">
        <w:rPr>
          <w:rFonts w:ascii="Garamond" w:hAnsi="Garamond" w:cs="Arial"/>
          <w:sz w:val="24"/>
          <w:szCs w:val="24"/>
        </w:rPr>
        <w:t xml:space="preserve"> collaborations</w:t>
      </w:r>
      <w:r w:rsidR="00850F6E" w:rsidRPr="00DB0210">
        <w:rPr>
          <w:rFonts w:ascii="Garamond" w:hAnsi="Garamond" w:cs="Arial"/>
          <w:sz w:val="24"/>
          <w:szCs w:val="24"/>
        </w:rPr>
        <w:t xml:space="preserve"> for ongoing or newly created research projects</w:t>
      </w:r>
      <w:r w:rsidR="00F87F56" w:rsidRPr="00DB0210">
        <w:rPr>
          <w:rFonts w:ascii="Garamond" w:hAnsi="Garamond" w:cs="Arial"/>
          <w:sz w:val="24"/>
          <w:szCs w:val="24"/>
        </w:rPr>
        <w:t>.</w:t>
      </w:r>
      <w:r w:rsidR="007A074C">
        <w:rPr>
          <w:rFonts w:ascii="Garamond" w:hAnsi="Garamond" w:cs="Arial"/>
          <w:sz w:val="24"/>
          <w:szCs w:val="24"/>
        </w:rPr>
        <w:t xml:space="preserve"> </w:t>
      </w:r>
      <w:r w:rsidR="002C794F">
        <w:rPr>
          <w:rFonts w:ascii="Garamond" w:hAnsi="Garamond" w:cs="Arial"/>
          <w:sz w:val="24"/>
          <w:szCs w:val="24"/>
        </w:rPr>
        <w:t>T</w:t>
      </w:r>
      <w:r w:rsidRPr="00DB0210">
        <w:rPr>
          <w:rFonts w:ascii="Garamond" w:hAnsi="Garamond" w:cs="Arial"/>
          <w:sz w:val="24"/>
          <w:szCs w:val="24"/>
        </w:rPr>
        <w:t xml:space="preserve">he final </w:t>
      </w:r>
      <w:r>
        <w:rPr>
          <w:rFonts w:ascii="Garamond" w:hAnsi="Garamond" w:cs="Arial"/>
          <w:sz w:val="24"/>
          <w:szCs w:val="24"/>
        </w:rPr>
        <w:t xml:space="preserve">TRC 2016 </w:t>
      </w:r>
      <w:r w:rsidRPr="00DB0210">
        <w:rPr>
          <w:rFonts w:ascii="Garamond" w:hAnsi="Garamond" w:cs="Arial"/>
          <w:sz w:val="24"/>
          <w:szCs w:val="24"/>
        </w:rPr>
        <w:t>program will be co-constructed depending on a</w:t>
      </w:r>
      <w:r>
        <w:rPr>
          <w:rFonts w:ascii="Garamond" w:hAnsi="Garamond" w:cs="Arial"/>
          <w:sz w:val="24"/>
          <w:szCs w:val="24"/>
        </w:rPr>
        <w:t xml:space="preserve">ccepted proposals. </w:t>
      </w:r>
      <w:r w:rsidR="002C794F" w:rsidRPr="00DF5913">
        <w:rPr>
          <w:rFonts w:ascii="Garamond" w:hAnsi="Garamond" w:cs="Arial"/>
          <w:sz w:val="24"/>
          <w:szCs w:val="24"/>
        </w:rPr>
        <w:t xml:space="preserve">TRC presenters are expected to attend both days of the TRC. </w:t>
      </w:r>
    </w:p>
    <w:p w14:paraId="40AE2739" w14:textId="77777777" w:rsidR="004F1888" w:rsidRPr="00DB0210" w:rsidRDefault="004F1888" w:rsidP="008352B1">
      <w:pPr>
        <w:shd w:val="clear" w:color="auto" w:fill="FFFFFF"/>
        <w:spacing w:after="120" w:line="293" w:lineRule="atLeast"/>
        <w:rPr>
          <w:rFonts w:ascii="Garamond" w:hAnsi="Garamond" w:cs="Arial"/>
          <w:sz w:val="24"/>
          <w:szCs w:val="24"/>
        </w:rPr>
      </w:pPr>
      <w:r w:rsidRPr="00DB0210">
        <w:rPr>
          <w:rFonts w:ascii="Garamond" w:hAnsi="Garamond" w:cs="Arial"/>
          <w:sz w:val="24"/>
          <w:szCs w:val="24"/>
        </w:rPr>
        <w:t xml:space="preserve">Participation in the colloquium will be </w:t>
      </w:r>
      <w:r w:rsidR="00C156C9" w:rsidRPr="00DB0210">
        <w:rPr>
          <w:rFonts w:ascii="Garamond" w:hAnsi="Garamond" w:cs="Arial"/>
          <w:sz w:val="24"/>
          <w:szCs w:val="24"/>
        </w:rPr>
        <w:t xml:space="preserve">open to </w:t>
      </w:r>
      <w:r w:rsidRPr="00DB0210">
        <w:rPr>
          <w:rFonts w:ascii="Garamond" w:hAnsi="Garamond" w:cs="Arial"/>
          <w:sz w:val="24"/>
          <w:szCs w:val="24"/>
        </w:rPr>
        <w:t>professional researchers with PhDs, MDs, or doctoral candidates actively engaged in research. To apply for participation, kindly send us the following:</w:t>
      </w:r>
    </w:p>
    <w:p w14:paraId="13609E5F" w14:textId="21562735" w:rsidR="004F1888" w:rsidRPr="007A074C" w:rsidRDefault="00E52F36" w:rsidP="007A074C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</w:t>
      </w:r>
      <w:r w:rsidR="004F1888" w:rsidRPr="00DB0210">
        <w:rPr>
          <w:rFonts w:ascii="Garamond" w:hAnsi="Garamond" w:cs="Arial"/>
          <w:sz w:val="24"/>
          <w:szCs w:val="24"/>
        </w:rPr>
        <w:t xml:space="preserve">n abstract </w:t>
      </w:r>
      <w:r w:rsidR="00C156C9" w:rsidRPr="00DB0210">
        <w:rPr>
          <w:rFonts w:ascii="Garamond" w:hAnsi="Garamond" w:cs="Arial"/>
          <w:sz w:val="24"/>
          <w:szCs w:val="24"/>
        </w:rPr>
        <w:t>of your work based on the conference theme</w:t>
      </w:r>
      <w:r w:rsidR="007A074C">
        <w:rPr>
          <w:rFonts w:ascii="Garamond" w:hAnsi="Garamond" w:cs="Arial"/>
          <w:sz w:val="24"/>
          <w:szCs w:val="24"/>
        </w:rPr>
        <w:t>,</w:t>
      </w:r>
      <w:r w:rsidR="00C156C9" w:rsidRPr="00DB0210">
        <w:rPr>
          <w:rFonts w:ascii="Garamond" w:hAnsi="Garamond" w:cs="Arial"/>
          <w:sz w:val="24"/>
          <w:szCs w:val="24"/>
        </w:rPr>
        <w:t xml:space="preserve"> </w:t>
      </w:r>
      <w:r w:rsidR="00C156C9" w:rsidRPr="007A074C">
        <w:rPr>
          <w:rFonts w:ascii="Garamond" w:hAnsi="Garamond" w:cs="Arial"/>
          <w:i/>
          <w:sz w:val="24"/>
          <w:szCs w:val="24"/>
        </w:rPr>
        <w:t>Research Models and Methods for Transpersonal R</w:t>
      </w:r>
      <w:r w:rsidR="007A074C">
        <w:rPr>
          <w:rFonts w:ascii="Garamond" w:hAnsi="Garamond" w:cs="Arial"/>
          <w:i/>
          <w:sz w:val="24"/>
          <w:szCs w:val="24"/>
        </w:rPr>
        <w:t xml:space="preserve">esearch </w:t>
      </w:r>
      <w:r w:rsidR="004F1888" w:rsidRPr="007A074C">
        <w:rPr>
          <w:rFonts w:ascii="Garamond" w:hAnsi="Garamond" w:cs="Arial"/>
          <w:sz w:val="24"/>
          <w:szCs w:val="24"/>
        </w:rPr>
        <w:t>(200 words in English)</w:t>
      </w:r>
      <w:r w:rsidR="007A074C">
        <w:rPr>
          <w:rFonts w:ascii="Garamond" w:hAnsi="Garamond" w:cs="Arial"/>
          <w:sz w:val="24"/>
          <w:szCs w:val="24"/>
        </w:rPr>
        <w:t xml:space="preserve"> </w:t>
      </w:r>
    </w:p>
    <w:p w14:paraId="7CA856E2" w14:textId="654A29C1" w:rsidR="004F1888" w:rsidRPr="00DB0210" w:rsidRDefault="00E52F36" w:rsidP="008352B1">
      <w:pPr>
        <w:pStyle w:val="ListParagraph"/>
        <w:numPr>
          <w:ilvl w:val="0"/>
          <w:numId w:val="1"/>
        </w:numPr>
        <w:shd w:val="clear" w:color="auto" w:fill="FFFFFF"/>
        <w:spacing w:after="120" w:line="293" w:lineRule="atLeas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S</w:t>
      </w:r>
      <w:r w:rsidR="004F1888" w:rsidRPr="00DB0210">
        <w:rPr>
          <w:rFonts w:ascii="Garamond" w:hAnsi="Garamond" w:cs="Arial"/>
          <w:sz w:val="24"/>
          <w:szCs w:val="24"/>
        </w:rPr>
        <w:t>hort bio including research bac</w:t>
      </w:r>
      <w:r w:rsidR="001F03DA">
        <w:rPr>
          <w:rFonts w:ascii="Garamond" w:hAnsi="Garamond" w:cs="Arial"/>
          <w:sz w:val="24"/>
          <w:szCs w:val="24"/>
        </w:rPr>
        <w:t>kground (100-200 words</w:t>
      </w:r>
      <w:r w:rsidR="004F1888" w:rsidRPr="00DB0210">
        <w:rPr>
          <w:rFonts w:ascii="Garamond" w:hAnsi="Garamond" w:cs="Arial"/>
          <w:sz w:val="24"/>
          <w:szCs w:val="24"/>
        </w:rPr>
        <w:t xml:space="preserve"> in English)</w:t>
      </w:r>
    </w:p>
    <w:p w14:paraId="507B9008" w14:textId="77777777" w:rsidR="00E52F36" w:rsidRDefault="00E52F36" w:rsidP="00E52F36">
      <w:pPr>
        <w:pStyle w:val="ListParagraph"/>
        <w:numPr>
          <w:ilvl w:val="0"/>
          <w:numId w:val="1"/>
        </w:numPr>
        <w:shd w:val="clear" w:color="auto" w:fill="FFFFFF"/>
        <w:spacing w:after="120" w:line="293" w:lineRule="atLeas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A </w:t>
      </w:r>
      <w:r w:rsidR="004F1888" w:rsidRPr="00DB0210">
        <w:rPr>
          <w:rFonts w:ascii="Garamond" w:hAnsi="Garamond" w:cs="Arial"/>
          <w:sz w:val="24"/>
          <w:szCs w:val="24"/>
        </w:rPr>
        <w:t>head-shot photo of you</w:t>
      </w:r>
    </w:p>
    <w:p w14:paraId="418BD05B" w14:textId="063475B7" w:rsidR="00C156C9" w:rsidRPr="00E52F36" w:rsidRDefault="00E52F36" w:rsidP="00E52F36">
      <w:pPr>
        <w:pStyle w:val="ListParagraph"/>
        <w:numPr>
          <w:ilvl w:val="0"/>
          <w:numId w:val="1"/>
        </w:numPr>
        <w:shd w:val="clear" w:color="auto" w:fill="FFFFFF"/>
        <w:spacing w:after="120" w:line="293" w:lineRule="atLeas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We </w:t>
      </w:r>
      <w:r w:rsidR="0056091E" w:rsidRPr="00E52F36">
        <w:rPr>
          <w:rFonts w:ascii="Garamond" w:hAnsi="Garamond" w:cs="Arial"/>
          <w:sz w:val="24"/>
          <w:szCs w:val="24"/>
        </w:rPr>
        <w:t xml:space="preserve">would like to include your </w:t>
      </w:r>
      <w:r w:rsidR="008E7EC6" w:rsidRPr="00E52F36">
        <w:rPr>
          <w:rFonts w:ascii="Garamond" w:hAnsi="Garamond" w:cs="Arial"/>
          <w:sz w:val="24"/>
          <w:szCs w:val="24"/>
        </w:rPr>
        <w:t xml:space="preserve">abstract </w:t>
      </w:r>
      <w:r w:rsidR="006F7E83" w:rsidRPr="00E52F36">
        <w:rPr>
          <w:rFonts w:ascii="Garamond" w:hAnsi="Garamond" w:cs="Arial"/>
          <w:sz w:val="24"/>
          <w:szCs w:val="24"/>
        </w:rPr>
        <w:t>as public inform</w:t>
      </w:r>
      <w:r>
        <w:rPr>
          <w:rFonts w:ascii="Garamond" w:hAnsi="Garamond" w:cs="Arial"/>
          <w:sz w:val="24"/>
          <w:szCs w:val="24"/>
        </w:rPr>
        <w:t>ation on the TRN website. Therefore,</w:t>
      </w:r>
      <w:r w:rsidR="006F7E83" w:rsidRPr="00E52F36">
        <w:rPr>
          <w:rFonts w:ascii="Garamond" w:hAnsi="Garamond" w:cs="Arial"/>
          <w:sz w:val="24"/>
          <w:szCs w:val="24"/>
        </w:rPr>
        <w:t xml:space="preserve"> let us know</w:t>
      </w:r>
      <w:r w:rsidR="0056091E" w:rsidRPr="00E52F36">
        <w:rPr>
          <w:rFonts w:ascii="Garamond" w:hAnsi="Garamond" w:cs="Arial"/>
          <w:sz w:val="24"/>
          <w:szCs w:val="24"/>
        </w:rPr>
        <w:t xml:space="preserve"> if this is acceptable to you</w:t>
      </w:r>
      <w:r w:rsidR="006F7E83" w:rsidRPr="00E52F36">
        <w:rPr>
          <w:rFonts w:ascii="Garamond" w:hAnsi="Garamond" w:cs="Arial"/>
          <w:sz w:val="24"/>
          <w:szCs w:val="24"/>
        </w:rPr>
        <w:t xml:space="preserve"> in your application materials. </w:t>
      </w:r>
    </w:p>
    <w:p w14:paraId="42923975" w14:textId="7BDFAB55" w:rsidR="004F1888" w:rsidRDefault="004F1888" w:rsidP="008352B1">
      <w:pPr>
        <w:shd w:val="clear" w:color="auto" w:fill="FFFFFF"/>
        <w:tabs>
          <w:tab w:val="left" w:pos="22375"/>
        </w:tabs>
        <w:spacing w:after="120" w:line="293" w:lineRule="atLeast"/>
        <w:rPr>
          <w:rFonts w:ascii="Garamond" w:hAnsi="Garamond" w:cs="Arial"/>
          <w:sz w:val="24"/>
          <w:szCs w:val="24"/>
        </w:rPr>
      </w:pPr>
      <w:r w:rsidRPr="00DB0210">
        <w:rPr>
          <w:rFonts w:ascii="Garamond" w:hAnsi="Garamond" w:cs="Arial"/>
          <w:sz w:val="24"/>
          <w:szCs w:val="24"/>
        </w:rPr>
        <w:t xml:space="preserve">Deadline for submission </w:t>
      </w:r>
      <w:r w:rsidR="00CA6A8E">
        <w:rPr>
          <w:rFonts w:ascii="Garamond" w:hAnsi="Garamond" w:cs="Arial"/>
          <w:sz w:val="24"/>
          <w:szCs w:val="24"/>
        </w:rPr>
        <w:t xml:space="preserve">of application: </w:t>
      </w:r>
      <w:r w:rsidR="00CA6A8E" w:rsidRPr="00DF5913">
        <w:rPr>
          <w:rFonts w:ascii="Garamond" w:hAnsi="Garamond" w:cs="Arial"/>
          <w:sz w:val="24"/>
          <w:szCs w:val="24"/>
        </w:rPr>
        <w:t>June 15</w:t>
      </w:r>
      <w:r w:rsidR="00E52F36" w:rsidRPr="00DF5913">
        <w:rPr>
          <w:rFonts w:ascii="Garamond" w:hAnsi="Garamond" w:cs="Arial"/>
          <w:sz w:val="24"/>
          <w:szCs w:val="24"/>
        </w:rPr>
        <w:t xml:space="preserve">, </w:t>
      </w:r>
      <w:r w:rsidR="007A074C" w:rsidRPr="00DF5913">
        <w:rPr>
          <w:rFonts w:ascii="Garamond" w:hAnsi="Garamond" w:cs="Arial"/>
          <w:sz w:val="24"/>
          <w:szCs w:val="24"/>
        </w:rPr>
        <w:t>2016.</w:t>
      </w:r>
      <w:r w:rsidRPr="00DF5913">
        <w:rPr>
          <w:rFonts w:ascii="Garamond" w:hAnsi="Garamond" w:cs="Arial"/>
          <w:sz w:val="24"/>
          <w:szCs w:val="24"/>
        </w:rPr>
        <w:t xml:space="preserve"> </w:t>
      </w:r>
      <w:r w:rsidRPr="00DB0210">
        <w:rPr>
          <w:rFonts w:ascii="Garamond" w:hAnsi="Garamond" w:cs="Arial"/>
          <w:sz w:val="24"/>
          <w:szCs w:val="24"/>
        </w:rPr>
        <w:t xml:space="preserve">Submit your application materials to </w:t>
      </w:r>
      <w:r w:rsidR="009D71B2">
        <w:fldChar w:fldCharType="begin"/>
      </w:r>
      <w:r w:rsidR="009D71B2">
        <w:instrText xml:space="preserve"> HYPERLINK "mailto:info@transpersonalresarchnetwork.com" </w:instrText>
      </w:r>
      <w:r w:rsidR="009D71B2">
        <w:fldChar w:fldCharType="separate"/>
      </w:r>
      <w:r w:rsidR="00C156C9" w:rsidRPr="00DB0210">
        <w:rPr>
          <w:rStyle w:val="Hyperlink"/>
          <w:rFonts w:ascii="Garamond" w:hAnsi="Garamond" w:cs="Arial"/>
          <w:sz w:val="24"/>
          <w:szCs w:val="24"/>
        </w:rPr>
        <w:t>info@transpersonalres</w:t>
      </w:r>
      <w:r w:rsidR="009D71B2">
        <w:rPr>
          <w:rStyle w:val="Hyperlink"/>
          <w:rFonts w:ascii="Garamond" w:hAnsi="Garamond" w:cs="Arial"/>
          <w:sz w:val="24"/>
          <w:szCs w:val="24"/>
        </w:rPr>
        <w:t>e</w:t>
      </w:r>
      <w:bookmarkStart w:id="2" w:name="_GoBack"/>
      <w:bookmarkEnd w:id="2"/>
      <w:r w:rsidR="00C156C9" w:rsidRPr="00DB0210">
        <w:rPr>
          <w:rStyle w:val="Hyperlink"/>
          <w:rFonts w:ascii="Garamond" w:hAnsi="Garamond" w:cs="Arial"/>
          <w:sz w:val="24"/>
          <w:szCs w:val="24"/>
        </w:rPr>
        <w:t>archnetwork.com</w:t>
      </w:r>
      <w:r w:rsidR="009D71B2">
        <w:rPr>
          <w:rStyle w:val="Hyperlink"/>
          <w:rFonts w:ascii="Garamond" w:hAnsi="Garamond" w:cs="Arial"/>
          <w:sz w:val="24"/>
          <w:szCs w:val="24"/>
        </w:rPr>
        <w:fldChar w:fldCharType="end"/>
      </w:r>
      <w:r w:rsidR="00C156C9" w:rsidRPr="00DB0210">
        <w:rPr>
          <w:rFonts w:ascii="Garamond" w:hAnsi="Garamond" w:cs="Arial"/>
          <w:sz w:val="24"/>
          <w:szCs w:val="24"/>
        </w:rPr>
        <w:t xml:space="preserve">. </w:t>
      </w:r>
      <w:r w:rsidRPr="00DB0210">
        <w:rPr>
          <w:rFonts w:ascii="Garamond" w:hAnsi="Garamond" w:cs="Arial"/>
          <w:sz w:val="24"/>
          <w:szCs w:val="24"/>
        </w:rPr>
        <w:t xml:space="preserve">You will receive a response to </w:t>
      </w:r>
      <w:r w:rsidR="00C156C9" w:rsidRPr="00DB0210">
        <w:rPr>
          <w:rFonts w:ascii="Garamond" w:hAnsi="Garamond" w:cs="Arial"/>
          <w:sz w:val="24"/>
          <w:szCs w:val="24"/>
        </w:rPr>
        <w:t xml:space="preserve">your application </w:t>
      </w:r>
      <w:r w:rsidR="00CA6A8E">
        <w:rPr>
          <w:rFonts w:ascii="Garamond" w:hAnsi="Garamond" w:cs="Arial"/>
          <w:sz w:val="24"/>
          <w:szCs w:val="24"/>
        </w:rPr>
        <w:t xml:space="preserve">by </w:t>
      </w:r>
      <w:r w:rsidR="00CA6A8E" w:rsidRPr="00DF5913">
        <w:rPr>
          <w:rFonts w:ascii="Garamond" w:hAnsi="Garamond" w:cs="Arial"/>
          <w:sz w:val="24"/>
          <w:szCs w:val="24"/>
        </w:rPr>
        <w:t>July 15</w:t>
      </w:r>
      <w:r w:rsidR="007A074C" w:rsidRPr="00DF5913">
        <w:rPr>
          <w:rFonts w:ascii="Garamond" w:hAnsi="Garamond" w:cs="Arial"/>
          <w:sz w:val="24"/>
          <w:szCs w:val="24"/>
        </w:rPr>
        <w:t>, 2016</w:t>
      </w:r>
      <w:r w:rsidR="00455057" w:rsidRPr="00DF5913">
        <w:rPr>
          <w:rFonts w:ascii="Garamond" w:hAnsi="Garamond" w:cs="Arial"/>
          <w:sz w:val="24"/>
          <w:szCs w:val="24"/>
        </w:rPr>
        <w:t xml:space="preserve">, and </w:t>
      </w:r>
      <w:r w:rsidR="00455057">
        <w:rPr>
          <w:rFonts w:ascii="Garamond" w:hAnsi="Garamond" w:cs="Arial"/>
          <w:sz w:val="24"/>
          <w:szCs w:val="24"/>
        </w:rPr>
        <w:t>full details for registration will be included.</w:t>
      </w:r>
    </w:p>
    <w:p w14:paraId="42BB1134" w14:textId="743E8928" w:rsidR="002A7834" w:rsidRPr="00DB0210" w:rsidRDefault="007678BE" w:rsidP="008352B1">
      <w:pPr>
        <w:shd w:val="clear" w:color="auto" w:fill="FFFFFF"/>
        <w:tabs>
          <w:tab w:val="left" w:pos="22375"/>
        </w:tabs>
        <w:spacing w:after="120" w:line="293" w:lineRule="atLeast"/>
        <w:rPr>
          <w:rFonts w:ascii="Garamond" w:hAnsi="Garamond" w:cs="Arial"/>
          <w:sz w:val="24"/>
          <w:szCs w:val="24"/>
        </w:rPr>
      </w:pPr>
      <w:proofErr w:type="spellStart"/>
      <w:r w:rsidRPr="00DB0210">
        <w:rPr>
          <w:rFonts w:ascii="Garamond" w:hAnsi="Garamond" w:cs="Arial"/>
          <w:sz w:val="24"/>
          <w:szCs w:val="24"/>
        </w:rPr>
        <w:t>Highgate</w:t>
      </w:r>
      <w:proofErr w:type="spellEnd"/>
      <w:r w:rsidRPr="00DB0210">
        <w:rPr>
          <w:rFonts w:ascii="Garamond" w:hAnsi="Garamond" w:cs="Arial"/>
          <w:sz w:val="24"/>
          <w:szCs w:val="24"/>
        </w:rPr>
        <w:t xml:space="preserve"> House, the venue for TRC2016 and the BPS conference that follows, has all the charm of a 17</w:t>
      </w:r>
      <w:r w:rsidRPr="00DB0210">
        <w:rPr>
          <w:rFonts w:ascii="Garamond" w:hAnsi="Garamond" w:cs="Arial"/>
          <w:sz w:val="24"/>
          <w:szCs w:val="24"/>
          <w:vertAlign w:val="superscript"/>
        </w:rPr>
        <w:t>th</w:t>
      </w:r>
      <w:r w:rsidRPr="00DB0210">
        <w:rPr>
          <w:rFonts w:ascii="Garamond" w:hAnsi="Garamond" w:cs="Arial"/>
          <w:sz w:val="24"/>
          <w:szCs w:val="24"/>
        </w:rPr>
        <w:t xml:space="preserve">-century English country house, tastefully modernized to offer state-of-the-art conference facilities. </w:t>
      </w:r>
      <w:r w:rsidR="00E86641" w:rsidRPr="00DB0210">
        <w:rPr>
          <w:rFonts w:ascii="Garamond" w:hAnsi="Garamond" w:cs="Arial"/>
          <w:sz w:val="24"/>
          <w:szCs w:val="24"/>
        </w:rPr>
        <w:t>It is easily a</w:t>
      </w:r>
      <w:r w:rsidR="00CB1142">
        <w:rPr>
          <w:rFonts w:ascii="Garamond" w:hAnsi="Garamond" w:cs="Arial"/>
          <w:sz w:val="24"/>
          <w:szCs w:val="24"/>
        </w:rPr>
        <w:t>ccessible from London. F</w:t>
      </w:r>
      <w:r w:rsidR="00E86641" w:rsidRPr="00DB0210">
        <w:rPr>
          <w:rFonts w:ascii="Garamond" w:hAnsi="Garamond" w:cs="Arial"/>
          <w:sz w:val="24"/>
          <w:szCs w:val="24"/>
        </w:rPr>
        <w:t xml:space="preserve">or full details see </w:t>
      </w:r>
      <w:hyperlink r:id="rId11" w:history="1">
        <w:r w:rsidR="00E86641" w:rsidRPr="00DB0210">
          <w:rPr>
            <w:rStyle w:val="Hyperlink"/>
            <w:rFonts w:ascii="Garamond" w:hAnsi="Garamond" w:cs="Arial"/>
            <w:sz w:val="24"/>
            <w:szCs w:val="24"/>
          </w:rPr>
          <w:t>http://www.sundialgroup.com/venues-hotels/highgate-house/overview</w:t>
        </w:r>
      </w:hyperlink>
      <w:r w:rsidR="00E86641" w:rsidRPr="00DB0210">
        <w:rPr>
          <w:rFonts w:ascii="Garamond" w:hAnsi="Garamond" w:cs="Arial"/>
          <w:sz w:val="24"/>
          <w:szCs w:val="24"/>
        </w:rPr>
        <w:t xml:space="preserve">. Those joining us can choose a single room or to share in a twin room. </w:t>
      </w:r>
    </w:p>
    <w:p w14:paraId="6C8A31E1" w14:textId="09ED8CA9" w:rsidR="00B362F3" w:rsidRPr="00DB0210" w:rsidRDefault="00B362F3" w:rsidP="00B362F3">
      <w:pPr>
        <w:shd w:val="clear" w:color="auto" w:fill="FFFFFF"/>
        <w:tabs>
          <w:tab w:val="left" w:pos="22375"/>
        </w:tabs>
        <w:spacing w:after="120" w:line="293" w:lineRule="atLeast"/>
        <w:rPr>
          <w:rFonts w:ascii="Garamond" w:hAnsi="Garamond" w:cs="Arial"/>
          <w:sz w:val="24"/>
          <w:szCs w:val="24"/>
        </w:rPr>
      </w:pPr>
      <w:r w:rsidRPr="00DB0210">
        <w:rPr>
          <w:rFonts w:ascii="Garamond" w:hAnsi="Garamond" w:cs="Arial"/>
          <w:sz w:val="24"/>
          <w:szCs w:val="24"/>
        </w:rPr>
        <w:t>Those attending both the TRC and the BPS Transpersonal Psychology Section conference can pay f</w:t>
      </w:r>
      <w:r w:rsidR="009E7EAA">
        <w:rPr>
          <w:rFonts w:ascii="Garamond" w:hAnsi="Garamond" w:cs="Arial"/>
          <w:sz w:val="24"/>
          <w:szCs w:val="24"/>
        </w:rPr>
        <w:t xml:space="preserve">or the ‘package’ thereby receiving </w:t>
      </w:r>
      <w:r>
        <w:rPr>
          <w:rFonts w:ascii="Garamond" w:hAnsi="Garamond" w:cs="Arial"/>
          <w:sz w:val="24"/>
          <w:szCs w:val="24"/>
        </w:rPr>
        <w:t>a lower rate for attending both events</w:t>
      </w:r>
      <w:r w:rsidRPr="00DB0210">
        <w:rPr>
          <w:rFonts w:ascii="Garamond" w:hAnsi="Garamond" w:cs="Arial"/>
          <w:sz w:val="24"/>
          <w:szCs w:val="24"/>
        </w:rPr>
        <w:t>.</w:t>
      </w:r>
    </w:p>
    <w:p w14:paraId="0CA88611" w14:textId="77777777" w:rsidR="00B362F3" w:rsidRDefault="00B362F3" w:rsidP="00B362F3">
      <w:pPr>
        <w:shd w:val="clear" w:color="auto" w:fill="FFFFFF"/>
        <w:tabs>
          <w:tab w:val="left" w:pos="22375"/>
        </w:tabs>
        <w:spacing w:after="120" w:line="293" w:lineRule="atLeast"/>
        <w:rPr>
          <w:rFonts w:ascii="Garamond" w:hAnsi="Garamond" w:cs="Arial"/>
          <w:sz w:val="24"/>
          <w:szCs w:val="24"/>
        </w:rPr>
      </w:pPr>
      <w:r w:rsidRPr="00DB0210">
        <w:rPr>
          <w:rFonts w:ascii="Garamond" w:hAnsi="Garamond" w:cs="Arial"/>
          <w:sz w:val="24"/>
          <w:szCs w:val="24"/>
        </w:rPr>
        <w:t xml:space="preserve">       Fees are as follows:</w:t>
      </w:r>
    </w:p>
    <w:p w14:paraId="6EDAFF0F" w14:textId="77777777" w:rsidR="003E7E6A" w:rsidRDefault="003E7E6A" w:rsidP="00B362F3">
      <w:pPr>
        <w:shd w:val="clear" w:color="auto" w:fill="FFFFFF"/>
        <w:tabs>
          <w:tab w:val="left" w:pos="22375"/>
        </w:tabs>
        <w:spacing w:after="120" w:line="293" w:lineRule="atLeast"/>
        <w:rPr>
          <w:rFonts w:ascii="Garamond" w:hAnsi="Garamond" w:cs="Arial"/>
          <w:sz w:val="24"/>
          <w:szCs w:val="24"/>
        </w:rPr>
      </w:pPr>
    </w:p>
    <w:tbl>
      <w:tblPr>
        <w:tblW w:w="8858" w:type="dxa"/>
        <w:tblInd w:w="-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1842"/>
        <w:gridCol w:w="5444"/>
      </w:tblGrid>
      <w:tr w:rsidR="00983526" w:rsidRPr="00983526" w14:paraId="3162F44B" w14:textId="77777777" w:rsidTr="00DF3CC7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127BB8" w14:textId="77777777" w:rsidR="00983526" w:rsidRPr="00983526" w:rsidRDefault="00983526" w:rsidP="00983526">
            <w:pPr>
              <w:spacing w:after="0" w:line="240" w:lineRule="auto"/>
              <w:rPr>
                <w:rFonts w:ascii="Garamond" w:eastAsia="Calibri" w:hAnsi="Garamond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983526">
              <w:rPr>
                <w:rFonts w:ascii="Garamond" w:eastAsia="Calibri" w:hAnsi="Garamond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2101AE" w14:textId="1D60A827" w:rsidR="00983526" w:rsidRPr="00983526" w:rsidRDefault="00983526" w:rsidP="00983526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val="en-GB" w:eastAsia="en-GB"/>
              </w:rPr>
            </w:pPr>
            <w:r w:rsidRPr="003E7E6A">
              <w:rPr>
                <w:rFonts w:ascii="Garamond" w:eastAsia="Times New Roman" w:hAnsi="Garamond" w:cs="Times New Roman"/>
                <w:b/>
                <w:sz w:val="24"/>
                <w:szCs w:val="24"/>
                <w:lang w:val="en-GB" w:eastAsia="en-GB"/>
              </w:rPr>
              <w:t>Full fee</w:t>
            </w:r>
          </w:p>
        </w:tc>
        <w:tc>
          <w:tcPr>
            <w:tcW w:w="5444" w:type="dxa"/>
            <w:shd w:val="clear" w:color="auto" w:fill="FFE599" w:themeFill="accent4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4A6720" w14:textId="6277CFEB" w:rsidR="00983526" w:rsidRPr="00983526" w:rsidRDefault="00983526" w:rsidP="00983526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val="en-GB" w:eastAsia="en-GB"/>
              </w:rPr>
            </w:pPr>
            <w:r w:rsidRPr="003E7E6A">
              <w:rPr>
                <w:rFonts w:ascii="Garamond" w:eastAsia="Times New Roman" w:hAnsi="Garamond" w:cs="Times New Roman"/>
                <w:b/>
                <w:sz w:val="24"/>
                <w:szCs w:val="24"/>
                <w:lang w:val="en-GB" w:eastAsia="en-GB"/>
              </w:rPr>
              <w:t>Discounted fee</w:t>
            </w:r>
            <w:r w:rsidR="003E7E6A" w:rsidRPr="003E7E6A">
              <w:rPr>
                <w:rFonts w:ascii="Garamond" w:eastAsia="Times New Roman" w:hAnsi="Garamond" w:cs="Times New Roman"/>
                <w:b/>
                <w:sz w:val="24"/>
                <w:szCs w:val="24"/>
                <w:lang w:val="en-GB" w:eastAsia="en-GB"/>
              </w:rPr>
              <w:t>*</w:t>
            </w:r>
          </w:p>
        </w:tc>
      </w:tr>
      <w:tr w:rsidR="00983526" w:rsidRPr="00983526" w14:paraId="7FF8B9AE" w14:textId="77777777" w:rsidTr="00DF3CC7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42A788" w14:textId="77777777" w:rsidR="00983526" w:rsidRPr="00983526" w:rsidRDefault="00983526" w:rsidP="00983526">
            <w:pPr>
              <w:spacing w:after="0" w:line="240" w:lineRule="auto"/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</w:pPr>
            <w:r w:rsidRPr="00983526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286" w:type="dxa"/>
            <w:gridSpan w:val="2"/>
            <w:shd w:val="clear" w:color="auto" w:fill="DB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21CE6B" w14:textId="77777777" w:rsidR="00983526" w:rsidRPr="00983526" w:rsidRDefault="00983526" w:rsidP="00983526">
            <w:pPr>
              <w:spacing w:after="0" w:line="240" w:lineRule="auto"/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</w:pPr>
            <w:r w:rsidRPr="00983526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  <w:t>Wednesday dinner through to end of day Friday prior to dinner:</w:t>
            </w:r>
          </w:p>
        </w:tc>
      </w:tr>
      <w:tr w:rsidR="00983526" w:rsidRPr="00983526" w14:paraId="72E5AEF8" w14:textId="77777777" w:rsidTr="00DF3CC7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B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84E1D" w14:textId="77777777" w:rsidR="00983526" w:rsidRPr="00983526" w:rsidRDefault="00983526" w:rsidP="00983526">
            <w:pPr>
              <w:spacing w:after="0" w:line="240" w:lineRule="auto"/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</w:pPr>
            <w:r w:rsidRPr="00983526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  <w:t>Single room</w:t>
            </w:r>
          </w:p>
        </w:tc>
        <w:tc>
          <w:tcPr>
            <w:tcW w:w="184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D9526C" w14:textId="2A14BD43" w:rsidR="00983526" w:rsidRPr="00983526" w:rsidRDefault="00983526" w:rsidP="00983526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983526">
              <w:rPr>
                <w:rFonts w:ascii="Garamond" w:eastAsia="Calibri" w:hAnsi="Garamond" w:cs="Times New Roman"/>
                <w:b/>
                <w:color w:val="000000"/>
                <w:sz w:val="24"/>
                <w:szCs w:val="24"/>
                <w:lang w:val="en-GB" w:eastAsia="en-GB"/>
              </w:rPr>
              <w:t>£358.00</w:t>
            </w:r>
          </w:p>
        </w:tc>
        <w:tc>
          <w:tcPr>
            <w:tcW w:w="5444" w:type="dxa"/>
            <w:shd w:val="clear" w:color="auto" w:fill="FFE599" w:themeFill="accent4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3BF9AA" w14:textId="22EAF063" w:rsidR="00983526" w:rsidRPr="00983526" w:rsidRDefault="00983526" w:rsidP="00983526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983526">
              <w:rPr>
                <w:rFonts w:ascii="Garamond" w:eastAsia="Calibri" w:hAnsi="Garamond" w:cs="Times New Roman"/>
                <w:b/>
                <w:color w:val="000000"/>
                <w:sz w:val="24"/>
                <w:szCs w:val="24"/>
                <w:lang w:val="en-GB" w:eastAsia="en-GB"/>
              </w:rPr>
              <w:t>£343.00</w:t>
            </w:r>
          </w:p>
        </w:tc>
      </w:tr>
      <w:tr w:rsidR="00983526" w:rsidRPr="00983526" w14:paraId="3E65CA48" w14:textId="77777777" w:rsidTr="00DF3CC7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B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76537B" w14:textId="77777777" w:rsidR="00983526" w:rsidRPr="00983526" w:rsidRDefault="00983526" w:rsidP="00983526">
            <w:pPr>
              <w:spacing w:after="0" w:line="240" w:lineRule="auto"/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</w:pPr>
            <w:r w:rsidRPr="00983526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  <w:t>Shared room</w:t>
            </w:r>
          </w:p>
        </w:tc>
        <w:tc>
          <w:tcPr>
            <w:tcW w:w="184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6D8B66" w14:textId="78D7F73F" w:rsidR="00983526" w:rsidRPr="00983526" w:rsidRDefault="00983526" w:rsidP="00983526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983526">
              <w:rPr>
                <w:rFonts w:ascii="Garamond" w:eastAsia="Calibri" w:hAnsi="Garamond" w:cs="Times New Roman"/>
                <w:b/>
                <w:color w:val="000000"/>
                <w:sz w:val="24"/>
                <w:szCs w:val="24"/>
                <w:lang w:val="en-GB" w:eastAsia="en-GB"/>
              </w:rPr>
              <w:t>£298.00</w:t>
            </w:r>
          </w:p>
        </w:tc>
        <w:tc>
          <w:tcPr>
            <w:tcW w:w="5444" w:type="dxa"/>
            <w:shd w:val="clear" w:color="auto" w:fill="FFE599" w:themeFill="accent4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898951" w14:textId="203DAB0E" w:rsidR="00983526" w:rsidRPr="00983526" w:rsidRDefault="00983526" w:rsidP="00983526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983526">
              <w:rPr>
                <w:rFonts w:ascii="Garamond" w:eastAsia="Calibri" w:hAnsi="Garamond" w:cs="Times New Roman"/>
                <w:b/>
                <w:color w:val="000000"/>
                <w:sz w:val="24"/>
                <w:szCs w:val="24"/>
                <w:lang w:val="en-GB" w:eastAsia="en-GB"/>
              </w:rPr>
              <w:t>£283.00</w:t>
            </w:r>
          </w:p>
        </w:tc>
      </w:tr>
      <w:tr w:rsidR="00983526" w:rsidRPr="00983526" w14:paraId="124B48B3" w14:textId="77777777" w:rsidTr="00DF3CC7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0E0E89" w14:textId="77777777" w:rsidR="00983526" w:rsidRPr="00983526" w:rsidRDefault="00983526" w:rsidP="00983526">
            <w:pPr>
              <w:spacing w:after="0" w:line="240" w:lineRule="auto"/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</w:pPr>
            <w:r w:rsidRPr="00983526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508A91" w14:textId="77777777" w:rsidR="00983526" w:rsidRPr="00983526" w:rsidRDefault="00983526" w:rsidP="00983526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4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E0ACA0" w14:textId="77777777" w:rsidR="00983526" w:rsidRPr="00983526" w:rsidRDefault="00983526" w:rsidP="00983526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 w:eastAsia="en-GB"/>
              </w:rPr>
            </w:pPr>
          </w:p>
        </w:tc>
      </w:tr>
      <w:tr w:rsidR="00983526" w:rsidRPr="00983526" w14:paraId="44C95FC2" w14:textId="77777777" w:rsidTr="00DF3CC7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30B4F2" w14:textId="77777777" w:rsidR="00983526" w:rsidRPr="00983526" w:rsidRDefault="00983526" w:rsidP="00983526">
            <w:pPr>
              <w:spacing w:after="0" w:line="240" w:lineRule="auto"/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</w:pPr>
            <w:r w:rsidRPr="00983526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286" w:type="dxa"/>
            <w:gridSpan w:val="2"/>
            <w:shd w:val="clear" w:color="auto" w:fill="DB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9A916B" w14:textId="77777777" w:rsidR="00983526" w:rsidRPr="00983526" w:rsidRDefault="00983526" w:rsidP="00983526">
            <w:pPr>
              <w:spacing w:after="0" w:line="240" w:lineRule="auto"/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</w:pPr>
            <w:r w:rsidRPr="00983526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  <w:t>Friday dinner through to end of day Sunday prior to dinner:</w:t>
            </w:r>
          </w:p>
        </w:tc>
      </w:tr>
      <w:tr w:rsidR="00983526" w:rsidRPr="00983526" w14:paraId="196FB967" w14:textId="77777777" w:rsidTr="00DF3CC7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B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6B5D8E" w14:textId="77777777" w:rsidR="00983526" w:rsidRPr="00983526" w:rsidRDefault="00983526" w:rsidP="00983526">
            <w:pPr>
              <w:spacing w:after="0" w:line="240" w:lineRule="auto"/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</w:pPr>
            <w:r w:rsidRPr="00983526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  <w:t>Single room</w:t>
            </w:r>
          </w:p>
        </w:tc>
        <w:tc>
          <w:tcPr>
            <w:tcW w:w="184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F11236" w14:textId="7970DFEE" w:rsidR="00983526" w:rsidRPr="00983526" w:rsidRDefault="00983526" w:rsidP="00983526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983526">
              <w:rPr>
                <w:rFonts w:ascii="Garamond" w:eastAsia="Calibri" w:hAnsi="Garamond" w:cs="Times New Roman"/>
                <w:b/>
                <w:color w:val="000000"/>
                <w:sz w:val="24"/>
                <w:szCs w:val="24"/>
                <w:lang w:val="en-GB" w:eastAsia="en-GB"/>
              </w:rPr>
              <w:t>£330.00</w:t>
            </w:r>
          </w:p>
        </w:tc>
        <w:tc>
          <w:tcPr>
            <w:tcW w:w="5444" w:type="dxa"/>
            <w:shd w:val="clear" w:color="auto" w:fill="FFE599" w:themeFill="accent4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548498" w14:textId="112CA98A" w:rsidR="00983526" w:rsidRPr="00983526" w:rsidRDefault="00983526" w:rsidP="00983526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983526">
              <w:rPr>
                <w:rFonts w:ascii="Garamond" w:eastAsia="Calibri" w:hAnsi="Garamond" w:cs="Times New Roman"/>
                <w:b/>
                <w:color w:val="000000"/>
                <w:sz w:val="24"/>
                <w:szCs w:val="24"/>
                <w:lang w:val="en-GB" w:eastAsia="en-GB"/>
              </w:rPr>
              <w:t>£275.00</w:t>
            </w:r>
          </w:p>
        </w:tc>
      </w:tr>
      <w:tr w:rsidR="00983526" w:rsidRPr="00983526" w14:paraId="697E0EE8" w14:textId="77777777" w:rsidTr="00DF3CC7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B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285365" w14:textId="77777777" w:rsidR="00983526" w:rsidRPr="00983526" w:rsidRDefault="00983526" w:rsidP="00983526">
            <w:pPr>
              <w:spacing w:after="0" w:line="240" w:lineRule="auto"/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</w:pPr>
            <w:r w:rsidRPr="00983526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  <w:t>Shared room</w:t>
            </w:r>
          </w:p>
        </w:tc>
        <w:tc>
          <w:tcPr>
            <w:tcW w:w="184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1445A0" w14:textId="2FDCD508" w:rsidR="00983526" w:rsidRPr="00983526" w:rsidRDefault="00983526" w:rsidP="00983526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983526">
              <w:rPr>
                <w:rFonts w:ascii="Garamond" w:eastAsia="Calibri" w:hAnsi="Garamond" w:cs="Times New Roman"/>
                <w:b/>
                <w:color w:val="000000"/>
                <w:sz w:val="24"/>
                <w:szCs w:val="24"/>
                <w:lang w:val="en-GB" w:eastAsia="en-GB"/>
              </w:rPr>
              <w:t>£306.00</w:t>
            </w:r>
          </w:p>
        </w:tc>
        <w:tc>
          <w:tcPr>
            <w:tcW w:w="5444" w:type="dxa"/>
            <w:shd w:val="clear" w:color="auto" w:fill="FFE599" w:themeFill="accent4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BFCF3C" w14:textId="1FF5B2E6" w:rsidR="00983526" w:rsidRPr="00983526" w:rsidRDefault="00983526" w:rsidP="00983526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983526">
              <w:rPr>
                <w:rFonts w:ascii="Garamond" w:eastAsia="Calibri" w:hAnsi="Garamond" w:cs="Times New Roman"/>
                <w:b/>
                <w:color w:val="000000"/>
                <w:sz w:val="24"/>
                <w:szCs w:val="24"/>
                <w:lang w:val="en-GB" w:eastAsia="en-GB"/>
              </w:rPr>
              <w:t>£255.00</w:t>
            </w:r>
          </w:p>
        </w:tc>
      </w:tr>
      <w:tr w:rsidR="00983526" w:rsidRPr="00983526" w14:paraId="5E3286CE" w14:textId="77777777" w:rsidTr="00DF3CC7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0EB984" w14:textId="77777777" w:rsidR="00983526" w:rsidRPr="00983526" w:rsidRDefault="00983526" w:rsidP="00983526">
            <w:pPr>
              <w:spacing w:after="0" w:line="240" w:lineRule="auto"/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</w:pPr>
            <w:r w:rsidRPr="00983526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EFD19F" w14:textId="77777777" w:rsidR="00983526" w:rsidRPr="00983526" w:rsidRDefault="00983526" w:rsidP="00983526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4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49A458" w14:textId="77777777" w:rsidR="00983526" w:rsidRPr="00983526" w:rsidRDefault="00983526" w:rsidP="00983526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 w:eastAsia="en-GB"/>
              </w:rPr>
            </w:pPr>
          </w:p>
        </w:tc>
      </w:tr>
      <w:tr w:rsidR="00983526" w:rsidRPr="00983526" w14:paraId="0CFF52B2" w14:textId="77777777" w:rsidTr="00DF3CC7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6A6793" w14:textId="77777777" w:rsidR="00983526" w:rsidRPr="00983526" w:rsidRDefault="00983526" w:rsidP="00983526">
            <w:pPr>
              <w:spacing w:after="0" w:line="240" w:lineRule="auto"/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</w:pPr>
            <w:r w:rsidRPr="00983526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286" w:type="dxa"/>
            <w:gridSpan w:val="2"/>
            <w:shd w:val="clear" w:color="auto" w:fill="DB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1461F9" w14:textId="77777777" w:rsidR="00983526" w:rsidRPr="00983526" w:rsidRDefault="00983526" w:rsidP="00983526">
            <w:pPr>
              <w:spacing w:after="0" w:line="240" w:lineRule="auto"/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</w:pPr>
            <w:r w:rsidRPr="00983526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  <w:t>Wednesday dinner through to end of day Sunday prior to dinner:</w:t>
            </w:r>
          </w:p>
        </w:tc>
      </w:tr>
      <w:tr w:rsidR="00983526" w:rsidRPr="00983526" w14:paraId="101FDD46" w14:textId="77777777" w:rsidTr="00DF3CC7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B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1423D9" w14:textId="77777777" w:rsidR="00983526" w:rsidRPr="00983526" w:rsidRDefault="00983526" w:rsidP="00983526">
            <w:pPr>
              <w:spacing w:after="0" w:line="240" w:lineRule="auto"/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</w:pPr>
            <w:r w:rsidRPr="00983526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  <w:t>Single room</w:t>
            </w:r>
          </w:p>
        </w:tc>
        <w:tc>
          <w:tcPr>
            <w:tcW w:w="184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B0039D" w14:textId="22432CCC" w:rsidR="00983526" w:rsidRPr="00983526" w:rsidRDefault="00983526" w:rsidP="00983526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983526">
              <w:rPr>
                <w:rFonts w:ascii="Garamond" w:eastAsia="Calibri" w:hAnsi="Garamond" w:cs="Times New Roman"/>
                <w:b/>
                <w:color w:val="000000"/>
                <w:sz w:val="24"/>
                <w:szCs w:val="24"/>
                <w:lang w:val="en-GB" w:eastAsia="en-GB"/>
              </w:rPr>
              <w:t>£663.00</w:t>
            </w:r>
          </w:p>
        </w:tc>
        <w:tc>
          <w:tcPr>
            <w:tcW w:w="5444" w:type="dxa"/>
            <w:shd w:val="clear" w:color="auto" w:fill="FFE599" w:themeFill="accent4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877853" w14:textId="0BA05E02" w:rsidR="00983526" w:rsidRPr="00983526" w:rsidRDefault="00983526" w:rsidP="00983526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983526">
              <w:rPr>
                <w:rFonts w:ascii="Garamond" w:eastAsia="Calibri" w:hAnsi="Garamond" w:cs="Times New Roman"/>
                <w:b/>
                <w:color w:val="000000"/>
                <w:sz w:val="24"/>
                <w:szCs w:val="24"/>
                <w:lang w:val="en-GB" w:eastAsia="en-GB"/>
              </w:rPr>
              <w:t>£598.00</w:t>
            </w:r>
          </w:p>
        </w:tc>
      </w:tr>
      <w:tr w:rsidR="00983526" w:rsidRPr="00983526" w14:paraId="0B7400E6" w14:textId="77777777" w:rsidTr="00DF3CC7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B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88718" w14:textId="77777777" w:rsidR="00983526" w:rsidRPr="00983526" w:rsidRDefault="00983526" w:rsidP="00983526">
            <w:pPr>
              <w:spacing w:after="0" w:line="240" w:lineRule="auto"/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</w:pPr>
            <w:r w:rsidRPr="00983526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  <w:t>Shared room</w:t>
            </w:r>
          </w:p>
        </w:tc>
        <w:tc>
          <w:tcPr>
            <w:tcW w:w="184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E37430" w14:textId="608E89E2" w:rsidR="00983526" w:rsidRPr="00983526" w:rsidRDefault="00983526" w:rsidP="00983526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983526">
              <w:rPr>
                <w:rFonts w:ascii="Garamond" w:eastAsia="Calibri" w:hAnsi="Garamond" w:cs="Times New Roman"/>
                <w:b/>
                <w:color w:val="000000"/>
                <w:sz w:val="24"/>
                <w:szCs w:val="24"/>
                <w:lang w:val="en-GB" w:eastAsia="en-GB"/>
              </w:rPr>
              <w:t>£583.00</w:t>
            </w:r>
          </w:p>
        </w:tc>
        <w:tc>
          <w:tcPr>
            <w:tcW w:w="5444" w:type="dxa"/>
            <w:shd w:val="clear" w:color="auto" w:fill="FFE599" w:themeFill="accent4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ED58C9" w14:textId="574C7AC4" w:rsidR="00983526" w:rsidRPr="00983526" w:rsidRDefault="00983526" w:rsidP="00983526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983526">
              <w:rPr>
                <w:rFonts w:ascii="Garamond" w:eastAsia="Calibri" w:hAnsi="Garamond" w:cs="Times New Roman"/>
                <w:b/>
                <w:color w:val="000000"/>
                <w:sz w:val="24"/>
                <w:szCs w:val="24"/>
                <w:lang w:val="en-GB" w:eastAsia="en-GB"/>
              </w:rPr>
              <w:t>£518.00</w:t>
            </w:r>
          </w:p>
        </w:tc>
      </w:tr>
      <w:tr w:rsidR="00983526" w:rsidRPr="00983526" w14:paraId="5724CF79" w14:textId="77777777" w:rsidTr="00DF3CC7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531DFD" w14:textId="77777777" w:rsidR="00983526" w:rsidRPr="00983526" w:rsidRDefault="00983526" w:rsidP="00983526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4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B27A15" w14:textId="77777777" w:rsidR="00983526" w:rsidRPr="00983526" w:rsidRDefault="00983526" w:rsidP="00983526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4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02452E" w14:textId="77777777" w:rsidR="00983526" w:rsidRPr="00983526" w:rsidRDefault="00983526" w:rsidP="00983526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 w:eastAsia="en-GB"/>
              </w:rPr>
            </w:pPr>
          </w:p>
        </w:tc>
      </w:tr>
      <w:tr w:rsidR="00983526" w:rsidRPr="00983526" w14:paraId="75F62126" w14:textId="77777777" w:rsidTr="00DF3CC7">
        <w:trPr>
          <w:trHeight w:val="300"/>
        </w:trPr>
        <w:tc>
          <w:tcPr>
            <w:tcW w:w="885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384606" w14:textId="2736C600" w:rsidR="00983526" w:rsidRPr="00983526" w:rsidRDefault="00983526" w:rsidP="00983526">
            <w:pPr>
              <w:spacing w:after="0" w:line="240" w:lineRule="auto"/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</w:pPr>
            <w:r w:rsidRPr="00983526">
              <w:rPr>
                <w:rFonts w:ascii="Garamond" w:eastAsia="Calibri" w:hAnsi="Garamond" w:cs="Times New Roman"/>
                <w:b/>
                <w:color w:val="000000"/>
                <w:sz w:val="24"/>
                <w:szCs w:val="24"/>
                <w:lang w:val="en-GB" w:eastAsia="en-GB"/>
              </w:rPr>
              <w:t>Day Rate</w:t>
            </w:r>
            <w:r w:rsidRPr="00983526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DF3CC7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  <w:t xml:space="preserve">for the TRC </w:t>
            </w:r>
            <w:r w:rsidRPr="00983526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  <w:t>(including registration, tea</w:t>
            </w:r>
            <w:r w:rsidR="001E23BC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  <w:t>s</w:t>
            </w:r>
            <w:r w:rsidRPr="00983526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  <w:t>/coffees and lunch</w:t>
            </w:r>
            <w:r w:rsidR="00DF3CC7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  <w:t>)</w:t>
            </w:r>
            <w:r w:rsidRPr="00983526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  <w:t xml:space="preserve"> -- for </w:t>
            </w:r>
            <w:r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  <w:t>Thursday</w:t>
            </w:r>
            <w:r w:rsidR="002C794F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  <w:t>, September</w:t>
            </w:r>
            <w:r w:rsidRPr="00983526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  <w:t xml:space="preserve"> 1</w:t>
            </w:r>
            <w:r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  <w:t>5</w:t>
            </w:r>
            <w:r w:rsidRPr="00983526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DF3CC7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  <w:t>an</w:t>
            </w:r>
            <w:r w:rsidR="002C794F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  <w:t>d</w:t>
            </w:r>
            <w:r w:rsidR="00DF3CC7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  <w:t>Friday</w:t>
            </w:r>
            <w:r w:rsidR="002C794F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  <w:t>, September</w:t>
            </w:r>
            <w:r w:rsidRPr="00983526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  <w:t xml:space="preserve"> 1</w:t>
            </w:r>
            <w:r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  <w:t>6</w:t>
            </w:r>
            <w:r w:rsidR="00DF3CC7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  <w:t xml:space="preserve"> totals </w:t>
            </w:r>
            <w:r w:rsidR="00DF3CC7" w:rsidRPr="00983526">
              <w:rPr>
                <w:rFonts w:ascii="Garamond" w:eastAsia="Calibri" w:hAnsi="Garamond" w:cs="Times New Roman"/>
                <w:b/>
                <w:color w:val="000000"/>
                <w:sz w:val="24"/>
                <w:szCs w:val="24"/>
                <w:lang w:val="en-GB" w:eastAsia="en-GB"/>
              </w:rPr>
              <w:t>£</w:t>
            </w:r>
            <w:r w:rsidR="00DF3CC7">
              <w:rPr>
                <w:rFonts w:ascii="Garamond" w:eastAsia="Calibri" w:hAnsi="Garamond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110 for both days.  </w:t>
            </w:r>
          </w:p>
          <w:p w14:paraId="1BE331B1" w14:textId="2FF5E2D1" w:rsidR="00983526" w:rsidRPr="00983526" w:rsidRDefault="00983526" w:rsidP="00983526">
            <w:pPr>
              <w:spacing w:after="0" w:line="240" w:lineRule="auto"/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2F0D9E74" w14:textId="4DC464CD" w:rsidR="00B362F3" w:rsidRPr="00DB0210" w:rsidRDefault="00B362F3" w:rsidP="00B362F3">
      <w:pPr>
        <w:shd w:val="clear" w:color="auto" w:fill="FFFFFF"/>
        <w:tabs>
          <w:tab w:val="left" w:pos="22375"/>
        </w:tabs>
        <w:spacing w:after="120" w:line="293" w:lineRule="atLeast"/>
        <w:rPr>
          <w:rFonts w:ascii="Garamond" w:hAnsi="Garamond" w:cs="Arial"/>
          <w:sz w:val="24"/>
          <w:szCs w:val="24"/>
        </w:rPr>
      </w:pPr>
      <w:r w:rsidRPr="00DB0210">
        <w:rPr>
          <w:rFonts w:ascii="Garamond" w:hAnsi="Garamond" w:cs="Arial"/>
          <w:sz w:val="24"/>
          <w:szCs w:val="24"/>
        </w:rPr>
        <w:t xml:space="preserve">       </w:t>
      </w:r>
      <w:r>
        <w:rPr>
          <w:rFonts w:ascii="Garamond" w:hAnsi="Garamond" w:cs="Arial"/>
          <w:sz w:val="24"/>
          <w:szCs w:val="24"/>
        </w:rPr>
        <w:t xml:space="preserve">             *Members of EUROTAS</w:t>
      </w:r>
      <w:r w:rsidRPr="00DB0210">
        <w:rPr>
          <w:rFonts w:ascii="Garamond" w:hAnsi="Garamond" w:cs="Arial"/>
          <w:sz w:val="24"/>
          <w:szCs w:val="24"/>
        </w:rPr>
        <w:t xml:space="preserve"> or the BPS Transpersonal Psychology Section qualify for the discount. </w:t>
      </w:r>
    </w:p>
    <w:p w14:paraId="0FDF4291" w14:textId="19588172" w:rsidR="001E23BC" w:rsidRPr="00DF5913" w:rsidRDefault="001E23BC" w:rsidP="001E23BC">
      <w:pPr>
        <w:shd w:val="clear" w:color="auto" w:fill="FFFFFF"/>
        <w:tabs>
          <w:tab w:val="left" w:pos="22375"/>
        </w:tabs>
        <w:spacing w:after="120" w:line="293" w:lineRule="atLeast"/>
        <w:rPr>
          <w:rFonts w:ascii="Garamond" w:hAnsi="Garamond" w:cs="Arial"/>
          <w:sz w:val="24"/>
          <w:szCs w:val="24"/>
        </w:rPr>
      </w:pPr>
      <w:r w:rsidRPr="00DF5913">
        <w:rPr>
          <w:rFonts w:ascii="Garamond" w:hAnsi="Garamond" w:cs="Arial"/>
          <w:sz w:val="24"/>
          <w:szCs w:val="24"/>
        </w:rPr>
        <w:t>Those wishing to submit a paper for th</w:t>
      </w:r>
      <w:r w:rsidR="0053308D">
        <w:rPr>
          <w:rFonts w:ascii="Garamond" w:hAnsi="Garamond" w:cs="Arial"/>
          <w:sz w:val="24"/>
          <w:szCs w:val="24"/>
        </w:rPr>
        <w:t>e BPS Transpersonal Psychology C</w:t>
      </w:r>
      <w:r w:rsidRPr="00DF5913">
        <w:rPr>
          <w:rFonts w:ascii="Garamond" w:hAnsi="Garamond" w:cs="Arial"/>
          <w:sz w:val="24"/>
          <w:szCs w:val="24"/>
        </w:rPr>
        <w:t xml:space="preserve">onference, please contact Professor Chris Roe, Chair of Section, at </w:t>
      </w:r>
      <w:hyperlink r:id="rId12" w:history="1">
        <w:r w:rsidRPr="00DF5913">
          <w:rPr>
            <w:rStyle w:val="Hyperlink"/>
            <w:rFonts w:ascii="Garamond" w:hAnsi="Garamond" w:cs="Arial"/>
            <w:color w:val="auto"/>
            <w:sz w:val="24"/>
            <w:szCs w:val="24"/>
          </w:rPr>
          <w:t>Chris.Roe@northampton.ac.uk</w:t>
        </w:r>
      </w:hyperlink>
      <w:r w:rsidRPr="00DF5913">
        <w:rPr>
          <w:rFonts w:ascii="Garamond" w:hAnsi="Garamond" w:cs="Arial"/>
          <w:sz w:val="24"/>
          <w:szCs w:val="24"/>
        </w:rPr>
        <w:t xml:space="preserve">. Insert “TP Conference” as the subject of the email.  </w:t>
      </w:r>
    </w:p>
    <w:p w14:paraId="03096FF3" w14:textId="77777777" w:rsidR="001E23BC" w:rsidRPr="00DF5913" w:rsidRDefault="001E23BC" w:rsidP="008352B1">
      <w:pPr>
        <w:shd w:val="clear" w:color="auto" w:fill="FFFFFF"/>
        <w:tabs>
          <w:tab w:val="left" w:pos="22375"/>
        </w:tabs>
        <w:spacing w:after="120" w:line="293" w:lineRule="atLeast"/>
        <w:rPr>
          <w:rFonts w:ascii="Garamond" w:hAnsi="Garamond" w:cs="Arial"/>
          <w:sz w:val="24"/>
          <w:szCs w:val="24"/>
        </w:rPr>
      </w:pPr>
    </w:p>
    <w:p w14:paraId="7EB31F82" w14:textId="77777777" w:rsidR="004F1888" w:rsidRPr="00DB0210" w:rsidRDefault="004F1888" w:rsidP="008352B1">
      <w:pPr>
        <w:shd w:val="clear" w:color="auto" w:fill="FFFFFF"/>
        <w:tabs>
          <w:tab w:val="left" w:pos="22375"/>
        </w:tabs>
        <w:spacing w:after="120" w:line="293" w:lineRule="atLeast"/>
        <w:rPr>
          <w:rFonts w:ascii="Garamond" w:hAnsi="Garamond" w:cs="Arial"/>
          <w:sz w:val="24"/>
          <w:szCs w:val="24"/>
        </w:rPr>
      </w:pPr>
      <w:r w:rsidRPr="00DB0210">
        <w:rPr>
          <w:rFonts w:ascii="Garamond" w:hAnsi="Garamond" w:cs="Arial"/>
          <w:sz w:val="24"/>
          <w:szCs w:val="24"/>
        </w:rPr>
        <w:t>Warm regards,</w:t>
      </w:r>
    </w:p>
    <w:p w14:paraId="38CCAE8B" w14:textId="77777777" w:rsidR="004F1888" w:rsidRPr="00DB0210" w:rsidRDefault="004F1888" w:rsidP="008352B1">
      <w:pPr>
        <w:shd w:val="clear" w:color="auto" w:fill="FFFFFF"/>
        <w:tabs>
          <w:tab w:val="left" w:pos="22375"/>
        </w:tabs>
        <w:spacing w:after="0" w:line="293" w:lineRule="atLeast"/>
        <w:rPr>
          <w:rFonts w:ascii="Garamond" w:hAnsi="Garamond" w:cs="Arial"/>
          <w:sz w:val="24"/>
          <w:szCs w:val="24"/>
        </w:rPr>
      </w:pPr>
      <w:r w:rsidRPr="00DB0210">
        <w:rPr>
          <w:rFonts w:ascii="Garamond" w:hAnsi="Garamond" w:cs="Arial"/>
          <w:sz w:val="24"/>
          <w:szCs w:val="24"/>
        </w:rPr>
        <w:t>Rosemarie Anderson, Ph.D.</w:t>
      </w:r>
      <w:r w:rsidR="00C156C9" w:rsidRPr="00DB0210">
        <w:rPr>
          <w:rFonts w:ascii="Garamond" w:hAnsi="Garamond" w:cs="Arial"/>
          <w:sz w:val="24"/>
          <w:szCs w:val="24"/>
        </w:rPr>
        <w:t xml:space="preserve"> (USA)</w:t>
      </w:r>
    </w:p>
    <w:p w14:paraId="1F50EF21" w14:textId="77777777" w:rsidR="004F1888" w:rsidRPr="00DB0210" w:rsidRDefault="004F1888" w:rsidP="008352B1">
      <w:pPr>
        <w:shd w:val="clear" w:color="auto" w:fill="FFFFFF"/>
        <w:tabs>
          <w:tab w:val="left" w:pos="22375"/>
        </w:tabs>
        <w:spacing w:after="0" w:line="293" w:lineRule="atLeast"/>
        <w:rPr>
          <w:rFonts w:ascii="Garamond" w:hAnsi="Garamond" w:cs="Arial"/>
          <w:sz w:val="24"/>
          <w:szCs w:val="24"/>
          <w:lang w:val="it-IT"/>
        </w:rPr>
      </w:pPr>
      <w:r w:rsidRPr="00DB0210">
        <w:rPr>
          <w:rFonts w:ascii="Garamond" w:hAnsi="Garamond" w:cs="Arial"/>
          <w:sz w:val="24"/>
          <w:szCs w:val="24"/>
          <w:lang w:val="it-IT"/>
        </w:rPr>
        <w:t xml:space="preserve">Giovanna Calabrese, </w:t>
      </w:r>
      <w:proofErr w:type="spellStart"/>
      <w:r w:rsidRPr="00DB0210">
        <w:rPr>
          <w:rFonts w:ascii="Garamond" w:hAnsi="Garamond" w:cs="Arial"/>
          <w:sz w:val="24"/>
          <w:szCs w:val="24"/>
          <w:lang w:val="it-IT"/>
        </w:rPr>
        <w:t>Ph.D</w:t>
      </w:r>
      <w:proofErr w:type="spellEnd"/>
      <w:r w:rsidRPr="00DB0210">
        <w:rPr>
          <w:rFonts w:ascii="Garamond" w:hAnsi="Garamond" w:cs="Arial"/>
          <w:sz w:val="24"/>
          <w:szCs w:val="24"/>
          <w:lang w:val="it-IT"/>
        </w:rPr>
        <w:t xml:space="preserve">., </w:t>
      </w:r>
      <w:proofErr w:type="spellStart"/>
      <w:r w:rsidR="00C156C9" w:rsidRPr="00DB0210">
        <w:rPr>
          <w:rFonts w:ascii="Garamond" w:hAnsi="Garamond" w:cs="Arial"/>
          <w:sz w:val="24"/>
          <w:szCs w:val="24"/>
          <w:lang w:val="it-IT"/>
        </w:rPr>
        <w:t>Psy.D</w:t>
      </w:r>
      <w:proofErr w:type="spellEnd"/>
      <w:r w:rsidR="00C156C9" w:rsidRPr="00DB0210">
        <w:rPr>
          <w:rFonts w:ascii="Garamond" w:hAnsi="Garamond" w:cs="Arial"/>
          <w:sz w:val="24"/>
          <w:szCs w:val="24"/>
          <w:lang w:val="it-IT"/>
        </w:rPr>
        <w:t xml:space="preserve">., </w:t>
      </w:r>
      <w:r w:rsidRPr="00DB0210">
        <w:rPr>
          <w:rFonts w:ascii="Garamond" w:hAnsi="Garamond" w:cs="Arial"/>
          <w:sz w:val="24"/>
          <w:szCs w:val="24"/>
          <w:lang w:val="it-IT"/>
        </w:rPr>
        <w:t>M.D.</w:t>
      </w:r>
      <w:r w:rsidR="00C156C9" w:rsidRPr="00DB0210">
        <w:rPr>
          <w:rFonts w:ascii="Garamond" w:hAnsi="Garamond" w:cs="Arial"/>
          <w:sz w:val="24"/>
          <w:szCs w:val="24"/>
          <w:lang w:val="it-IT"/>
        </w:rPr>
        <w:t xml:space="preserve"> (</w:t>
      </w:r>
      <w:proofErr w:type="spellStart"/>
      <w:r w:rsidR="00C156C9" w:rsidRPr="00DB0210">
        <w:rPr>
          <w:rFonts w:ascii="Garamond" w:hAnsi="Garamond" w:cs="Arial"/>
          <w:sz w:val="24"/>
          <w:szCs w:val="24"/>
          <w:lang w:val="it-IT"/>
        </w:rPr>
        <w:t>Italy</w:t>
      </w:r>
      <w:proofErr w:type="spellEnd"/>
      <w:r w:rsidR="00C156C9" w:rsidRPr="00DB0210">
        <w:rPr>
          <w:rFonts w:ascii="Garamond" w:hAnsi="Garamond" w:cs="Arial"/>
          <w:sz w:val="24"/>
          <w:szCs w:val="24"/>
          <w:lang w:val="it-IT"/>
        </w:rPr>
        <w:t>)</w:t>
      </w:r>
    </w:p>
    <w:p w14:paraId="7EF2764A" w14:textId="77777777" w:rsidR="004F1888" w:rsidRPr="00DB0210" w:rsidRDefault="004F1888" w:rsidP="008352B1">
      <w:pPr>
        <w:shd w:val="clear" w:color="auto" w:fill="FFFFFF"/>
        <w:tabs>
          <w:tab w:val="left" w:pos="22375"/>
        </w:tabs>
        <w:spacing w:after="0" w:line="293" w:lineRule="atLeast"/>
        <w:rPr>
          <w:rFonts w:ascii="Garamond" w:hAnsi="Garamond" w:cs="Arial"/>
          <w:sz w:val="24"/>
          <w:szCs w:val="24"/>
        </w:rPr>
      </w:pPr>
      <w:r w:rsidRPr="00DB0210">
        <w:rPr>
          <w:rFonts w:ascii="Garamond" w:hAnsi="Garamond" w:cs="Arial"/>
          <w:sz w:val="24"/>
          <w:szCs w:val="24"/>
        </w:rPr>
        <w:t>Regina U Hess, Ph.D.</w:t>
      </w:r>
      <w:r w:rsidR="00C156C9" w:rsidRPr="00DB0210">
        <w:rPr>
          <w:rFonts w:ascii="Garamond" w:hAnsi="Garamond" w:cs="Arial"/>
          <w:sz w:val="24"/>
          <w:szCs w:val="24"/>
        </w:rPr>
        <w:t xml:space="preserve"> (Germany)</w:t>
      </w:r>
    </w:p>
    <w:p w14:paraId="36B0E2A7" w14:textId="77777777" w:rsidR="008F72FE" w:rsidRPr="00DB0210" w:rsidRDefault="004F1888" w:rsidP="008352B1">
      <w:pPr>
        <w:shd w:val="clear" w:color="auto" w:fill="FFFFFF"/>
        <w:tabs>
          <w:tab w:val="left" w:pos="22375"/>
        </w:tabs>
        <w:spacing w:after="0" w:line="293" w:lineRule="atLeast"/>
        <w:rPr>
          <w:rFonts w:ascii="Garamond" w:hAnsi="Garamond" w:cs="Arial"/>
          <w:sz w:val="24"/>
          <w:szCs w:val="24"/>
          <w:lang w:val="it-IT"/>
        </w:rPr>
      </w:pPr>
      <w:r w:rsidRPr="00DB0210">
        <w:rPr>
          <w:rFonts w:ascii="Garamond" w:hAnsi="Garamond" w:cs="Arial"/>
          <w:sz w:val="24"/>
          <w:szCs w:val="24"/>
          <w:lang w:val="it-IT"/>
        </w:rPr>
        <w:t xml:space="preserve">Pier Luigi Lattuada, </w:t>
      </w:r>
      <w:proofErr w:type="spellStart"/>
      <w:r w:rsidRPr="00DB0210">
        <w:rPr>
          <w:rFonts w:ascii="Garamond" w:hAnsi="Garamond" w:cs="Arial"/>
          <w:sz w:val="24"/>
          <w:szCs w:val="24"/>
          <w:lang w:val="it-IT"/>
        </w:rPr>
        <w:t>Ph.D</w:t>
      </w:r>
      <w:proofErr w:type="spellEnd"/>
      <w:r w:rsidRPr="00DB0210">
        <w:rPr>
          <w:rFonts w:ascii="Garamond" w:hAnsi="Garamond" w:cs="Arial"/>
          <w:sz w:val="24"/>
          <w:szCs w:val="24"/>
          <w:lang w:val="it-IT"/>
        </w:rPr>
        <w:t>., M.D.</w:t>
      </w:r>
      <w:r w:rsidR="00C156C9" w:rsidRPr="00DB0210">
        <w:rPr>
          <w:rFonts w:ascii="Garamond" w:hAnsi="Garamond" w:cs="Arial"/>
          <w:sz w:val="24"/>
          <w:szCs w:val="24"/>
          <w:lang w:val="it-IT"/>
        </w:rPr>
        <w:t xml:space="preserve"> (</w:t>
      </w:r>
      <w:proofErr w:type="spellStart"/>
      <w:r w:rsidR="00C156C9" w:rsidRPr="00DB0210">
        <w:rPr>
          <w:rFonts w:ascii="Garamond" w:hAnsi="Garamond" w:cs="Arial"/>
          <w:sz w:val="24"/>
          <w:szCs w:val="24"/>
          <w:lang w:val="it-IT"/>
        </w:rPr>
        <w:t>Italy</w:t>
      </w:r>
      <w:proofErr w:type="spellEnd"/>
      <w:r w:rsidR="00C156C9" w:rsidRPr="00DB0210">
        <w:rPr>
          <w:rFonts w:ascii="Garamond" w:hAnsi="Garamond" w:cs="Arial"/>
          <w:sz w:val="24"/>
          <w:szCs w:val="24"/>
          <w:lang w:val="it-IT"/>
        </w:rPr>
        <w:t>)</w:t>
      </w:r>
    </w:p>
    <w:p w14:paraId="3D7957EA" w14:textId="3CEBFB88" w:rsidR="00C156C9" w:rsidRPr="00DB0210" w:rsidRDefault="00C156C9" w:rsidP="008352B1">
      <w:pPr>
        <w:shd w:val="clear" w:color="auto" w:fill="FFFFFF"/>
        <w:tabs>
          <w:tab w:val="left" w:pos="22375"/>
        </w:tabs>
        <w:spacing w:after="0" w:line="293" w:lineRule="atLeast"/>
        <w:rPr>
          <w:rFonts w:ascii="Garamond" w:hAnsi="Garamond" w:cs="Arial"/>
          <w:sz w:val="24"/>
          <w:szCs w:val="24"/>
          <w:lang w:val="it-IT"/>
        </w:rPr>
      </w:pPr>
      <w:proofErr w:type="spellStart"/>
      <w:r w:rsidRPr="00DB0210">
        <w:rPr>
          <w:rFonts w:ascii="Garamond" w:hAnsi="Garamond" w:cs="Arial"/>
          <w:sz w:val="24"/>
          <w:szCs w:val="24"/>
          <w:lang w:val="it-IT"/>
        </w:rPr>
        <w:t>Les</w:t>
      </w:r>
      <w:proofErr w:type="spellEnd"/>
      <w:r w:rsidRPr="00DB0210">
        <w:rPr>
          <w:rFonts w:ascii="Garamond" w:hAnsi="Garamond" w:cs="Arial"/>
          <w:sz w:val="24"/>
          <w:szCs w:val="24"/>
          <w:lang w:val="it-IT"/>
        </w:rPr>
        <w:t xml:space="preserve"> Lancaster, </w:t>
      </w:r>
      <w:proofErr w:type="spellStart"/>
      <w:r w:rsidRPr="00DB0210">
        <w:rPr>
          <w:rFonts w:ascii="Garamond" w:hAnsi="Garamond" w:cs="Arial"/>
          <w:sz w:val="24"/>
          <w:szCs w:val="24"/>
          <w:lang w:val="it-IT"/>
        </w:rPr>
        <w:t>Ph.D</w:t>
      </w:r>
      <w:proofErr w:type="spellEnd"/>
      <w:r w:rsidRPr="00DB0210">
        <w:rPr>
          <w:rFonts w:ascii="Garamond" w:hAnsi="Garamond" w:cs="Arial"/>
          <w:sz w:val="24"/>
          <w:szCs w:val="24"/>
          <w:lang w:val="it-IT"/>
        </w:rPr>
        <w:t>. (UK)</w:t>
      </w:r>
    </w:p>
    <w:sectPr w:rsidR="00C156C9" w:rsidRPr="00DB0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936C7"/>
    <w:multiLevelType w:val="hybridMultilevel"/>
    <w:tmpl w:val="F73A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888"/>
    <w:rsid w:val="000745C9"/>
    <w:rsid w:val="000B2794"/>
    <w:rsid w:val="000E3482"/>
    <w:rsid w:val="00101C95"/>
    <w:rsid w:val="001B7FFC"/>
    <w:rsid w:val="001E23BC"/>
    <w:rsid w:val="001F03DA"/>
    <w:rsid w:val="00227C24"/>
    <w:rsid w:val="00263576"/>
    <w:rsid w:val="0028339C"/>
    <w:rsid w:val="002917F6"/>
    <w:rsid w:val="002A7834"/>
    <w:rsid w:val="002C794F"/>
    <w:rsid w:val="00343095"/>
    <w:rsid w:val="003A1752"/>
    <w:rsid w:val="003A54DD"/>
    <w:rsid w:val="003E7E6A"/>
    <w:rsid w:val="00455057"/>
    <w:rsid w:val="004678D2"/>
    <w:rsid w:val="004B7045"/>
    <w:rsid w:val="004F1888"/>
    <w:rsid w:val="0053308D"/>
    <w:rsid w:val="00535FDB"/>
    <w:rsid w:val="005603B5"/>
    <w:rsid w:val="0056091E"/>
    <w:rsid w:val="006353A8"/>
    <w:rsid w:val="00651993"/>
    <w:rsid w:val="006A35D2"/>
    <w:rsid w:val="006A46A5"/>
    <w:rsid w:val="006F7E83"/>
    <w:rsid w:val="00752A93"/>
    <w:rsid w:val="007678BE"/>
    <w:rsid w:val="007A074C"/>
    <w:rsid w:val="008352B1"/>
    <w:rsid w:val="00850F6E"/>
    <w:rsid w:val="008A24CB"/>
    <w:rsid w:val="008A697A"/>
    <w:rsid w:val="008B0908"/>
    <w:rsid w:val="008E7EC6"/>
    <w:rsid w:val="008F72FE"/>
    <w:rsid w:val="00901D78"/>
    <w:rsid w:val="00925F57"/>
    <w:rsid w:val="00944704"/>
    <w:rsid w:val="00954254"/>
    <w:rsid w:val="009575A8"/>
    <w:rsid w:val="00970CB6"/>
    <w:rsid w:val="00971649"/>
    <w:rsid w:val="00983526"/>
    <w:rsid w:val="009D71B2"/>
    <w:rsid w:val="009E7EAA"/>
    <w:rsid w:val="00A3689E"/>
    <w:rsid w:val="00A76928"/>
    <w:rsid w:val="00AE475A"/>
    <w:rsid w:val="00B362F3"/>
    <w:rsid w:val="00B61A5E"/>
    <w:rsid w:val="00BA77E4"/>
    <w:rsid w:val="00C156C9"/>
    <w:rsid w:val="00C701AB"/>
    <w:rsid w:val="00CA6A8E"/>
    <w:rsid w:val="00CA6DA5"/>
    <w:rsid w:val="00CB1142"/>
    <w:rsid w:val="00CE2F94"/>
    <w:rsid w:val="00D27852"/>
    <w:rsid w:val="00D35D01"/>
    <w:rsid w:val="00D84608"/>
    <w:rsid w:val="00DB0210"/>
    <w:rsid w:val="00DF3CC7"/>
    <w:rsid w:val="00DF5913"/>
    <w:rsid w:val="00E1788B"/>
    <w:rsid w:val="00E22C40"/>
    <w:rsid w:val="00E52F36"/>
    <w:rsid w:val="00E77F15"/>
    <w:rsid w:val="00E86641"/>
    <w:rsid w:val="00ED3F97"/>
    <w:rsid w:val="00EE4B0E"/>
    <w:rsid w:val="00F15726"/>
    <w:rsid w:val="00F177A7"/>
    <w:rsid w:val="00F2201C"/>
    <w:rsid w:val="00F2343A"/>
    <w:rsid w:val="00F67DDB"/>
    <w:rsid w:val="00F72A66"/>
    <w:rsid w:val="00F87F56"/>
    <w:rsid w:val="00FB0319"/>
    <w:rsid w:val="00FE2213"/>
    <w:rsid w:val="00F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E59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8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8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18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482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71649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71649"/>
    <w:rPr>
      <w:rFonts w:ascii="Lucida Grande" w:hAnsi="Lucida Grande" w:cs="Lucida Grande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8460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8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8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18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482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71649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71649"/>
    <w:rPr>
      <w:rFonts w:ascii="Lucida Grande" w:hAnsi="Lucida Grande" w:cs="Lucida Grande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846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undialgroup.com/venues-hotels/highgate-house/overview" TargetMode="External"/><Relationship Id="rId12" Type="http://schemas.openxmlformats.org/officeDocument/2006/relationships/hyperlink" Target="mailto:Chris.Roe@northampton.ac.uk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eurotas2016.com/" TargetMode="External"/><Relationship Id="rId7" Type="http://schemas.openxmlformats.org/officeDocument/2006/relationships/hyperlink" Target="http://www.transpersonalconsultancy.com" TargetMode="External"/><Relationship Id="rId8" Type="http://schemas.openxmlformats.org/officeDocument/2006/relationships/hyperlink" Target="http://eurotas.org/division-of-transpersonal-research-edtr/" TargetMode="External"/><Relationship Id="rId9" Type="http://schemas.openxmlformats.org/officeDocument/2006/relationships/hyperlink" Target="http://www.integraltranspersonal.com" TargetMode="External"/><Relationship Id="rId10" Type="http://schemas.openxmlformats.org/officeDocument/2006/relationships/hyperlink" Target="http://www.bps.org.uk/networks-and-communities/member-microsite/transpersonal-psychology-s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834</Words>
  <Characters>4756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Rosemarie Anderson</dc:creator>
  <cp:lastModifiedBy>Regina Dr. Hess</cp:lastModifiedBy>
  <cp:revision>3</cp:revision>
  <cp:lastPrinted>2016-03-15T22:22:00Z</cp:lastPrinted>
  <dcterms:created xsi:type="dcterms:W3CDTF">2016-03-17T10:54:00Z</dcterms:created>
  <dcterms:modified xsi:type="dcterms:W3CDTF">2016-03-17T10:54:00Z</dcterms:modified>
</cp:coreProperties>
</file>